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Lines="50" w:afterLines="150"/>
        <w:jc w:val="center"/>
        <w:rPr>
          <w:rFonts w:ascii="方正小标宋简体" w:hAnsi="黑体" w:eastAsia="方正小标宋简体"/>
          <w:sz w:val="48"/>
          <w:szCs w:val="48"/>
        </w:rPr>
      </w:pPr>
      <w:r>
        <w:rPr>
          <w:rFonts w:hint="eastAsia" w:ascii="方正小标宋简体" w:hAnsi="黑体" w:eastAsia="方正小标宋简体"/>
          <w:sz w:val="48"/>
          <w:szCs w:val="48"/>
        </w:rPr>
        <w:t>贵州省工业和信息化厅</w:t>
      </w:r>
    </w:p>
    <w:p>
      <w:pPr>
        <w:jc w:val="center"/>
        <w:rPr>
          <w:rFonts w:hAnsi="黑体" w:eastAsia="黑体" w:cs="宋体"/>
          <w:kern w:val="0"/>
          <w:sz w:val="24"/>
        </w:rPr>
      </w:pPr>
      <w:r>
        <w:rPr>
          <w:rFonts w:hint="eastAsia" w:ascii="方正小标宋简体" w:hAnsi="黑体" w:eastAsia="方正小标宋简体"/>
          <w:spacing w:val="-20"/>
          <w:sz w:val="48"/>
          <w:szCs w:val="48"/>
        </w:rPr>
        <w:t>2019年度工业和信息化</w:t>
      </w:r>
      <w:r>
        <w:rPr>
          <w:rFonts w:hint="eastAsia" w:eastAsia="方正小标宋简体"/>
          <w:spacing w:val="-20"/>
          <w:sz w:val="48"/>
          <w:szCs w:val="48"/>
        </w:rPr>
        <w:t>发展</w:t>
      </w:r>
      <w:r>
        <w:rPr>
          <w:rFonts w:hint="eastAsia" w:ascii="方正小标宋简体" w:eastAsia="方正小标宋简体"/>
          <w:spacing w:val="-20"/>
          <w:sz w:val="48"/>
          <w:szCs w:val="48"/>
        </w:rPr>
        <w:t>专项资金</w:t>
      </w: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rPr>
        <w:t>绩效评价报告</w:t>
      </w: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rPr>
          <w:rFonts w:hAnsi="黑体" w:eastAsia="黑体" w:cs="宋体"/>
          <w:kern w:val="0"/>
          <w:sz w:val="24"/>
        </w:rPr>
      </w:pPr>
    </w:p>
    <w:p>
      <w:pPr>
        <w:spacing w:line="360" w:lineRule="auto"/>
        <w:ind w:firstLine="1800" w:firstLineChars="600"/>
        <w:rPr>
          <w:rFonts w:ascii="黑体" w:hAnsi="黑体" w:eastAsia="黑体"/>
          <w:szCs w:val="32"/>
        </w:rPr>
      </w:pPr>
      <w:r>
        <w:rPr>
          <w:rFonts w:hint="eastAsia" w:ascii="黑体" w:hAnsi="黑体" w:eastAsia="黑体"/>
          <w:szCs w:val="32"/>
        </w:rPr>
        <w:t>委托单位：贵州省工业和信息化厅</w:t>
      </w:r>
    </w:p>
    <w:p>
      <w:pPr>
        <w:spacing w:line="360" w:lineRule="auto"/>
        <w:ind w:firstLine="1800" w:firstLineChars="600"/>
        <w:rPr>
          <w:rFonts w:ascii="黑体" w:hAnsi="黑体" w:eastAsia="黑体"/>
          <w:szCs w:val="32"/>
        </w:rPr>
      </w:pPr>
      <w:r>
        <w:rPr>
          <w:rFonts w:hint="eastAsia" w:ascii="黑体" w:hAnsi="黑体" w:eastAsia="黑体"/>
          <w:szCs w:val="32"/>
        </w:rPr>
        <w:t>评价机构：中鼎资信评级服务有限公司</w:t>
      </w:r>
    </w:p>
    <w:p>
      <w:pPr>
        <w:spacing w:line="360" w:lineRule="auto"/>
        <w:ind w:firstLine="1800" w:firstLineChars="600"/>
        <w:jc w:val="left"/>
        <w:rPr>
          <w:rFonts w:ascii="黑体" w:hAnsi="黑体" w:eastAsia="黑体"/>
          <w:b/>
          <w:sz w:val="32"/>
          <w:szCs w:val="32"/>
        </w:rPr>
      </w:pPr>
      <w:r>
        <w:rPr>
          <w:rFonts w:hint="eastAsia" w:ascii="黑体" w:hAnsi="黑体" w:eastAsia="黑体"/>
          <w:szCs w:val="32"/>
        </w:rPr>
        <w:t>评价时间：2020年5月</w:t>
      </w:r>
    </w:p>
    <w:p>
      <w:pPr>
        <w:jc w:val="center"/>
        <w:rPr>
          <w:rFonts w:ascii="黑体" w:hAnsi="黑体" w:eastAsia="黑体"/>
          <w:b/>
          <w:sz w:val="44"/>
          <w:szCs w:val="44"/>
        </w:rPr>
        <w:sectPr>
          <w:footerReference r:id="rId3" w:type="default"/>
          <w:footerReference r:id="rId4" w:type="even"/>
          <w:pgSz w:w="11906" w:h="16838"/>
          <w:pgMar w:top="1985" w:right="1474" w:bottom="1871" w:left="1474" w:header="851" w:footer="992" w:gutter="0"/>
          <w:pgNumType w:start="1"/>
          <w:cols w:space="425" w:num="1"/>
          <w:docGrid w:type="lines" w:linePitch="312" w:charSpace="0"/>
        </w:sectPr>
      </w:pPr>
      <w:r>
        <w:rPr>
          <w:rFonts w:ascii="黑体" w:hAnsi="黑体" w:eastAsia="黑体"/>
          <w:b/>
          <w:sz w:val="44"/>
          <w:szCs w:val="44"/>
        </w:rPr>
        <w:br w:type="page"/>
      </w:r>
    </w:p>
    <w:p>
      <w:pPr>
        <w:widowControl/>
        <w:jc w:val="center"/>
        <w:rPr>
          <w:rFonts w:ascii="方正小标宋简体" w:eastAsia="方正小标宋简体"/>
          <w:sz w:val="44"/>
          <w:szCs w:val="44"/>
        </w:rPr>
      </w:pPr>
      <w:r>
        <w:rPr>
          <w:rFonts w:hint="eastAsia" w:ascii="方正小标宋简体" w:hAnsi="宋体" w:eastAsia="方正小标宋简体" w:cs="宋体"/>
          <w:sz w:val="44"/>
          <w:szCs w:val="44"/>
        </w:rPr>
        <w:t>摘   要</w:t>
      </w:r>
    </w:p>
    <w:p>
      <w:pPr>
        <w:spacing w:line="560" w:lineRule="exact"/>
        <w:ind w:firstLine="664" w:firstLineChars="200"/>
        <w:rPr>
          <w:rFonts w:ascii="仿宋_GB2312"/>
          <w:spacing w:val="6"/>
          <w:sz w:val="32"/>
          <w:szCs w:val="32"/>
        </w:rPr>
      </w:pPr>
      <w:bookmarkStart w:id="0" w:name="_Toc17971348"/>
      <w:bookmarkStart w:id="1" w:name="_Toc20151697"/>
      <w:bookmarkStart w:id="2" w:name="_Toc17972192"/>
      <w:bookmarkStart w:id="3" w:name="_Toc17971909"/>
      <w:bookmarkStart w:id="4" w:name="_Toc17972137"/>
      <w:r>
        <w:rPr>
          <w:rFonts w:hint="eastAsia" w:ascii="仿宋_GB2312"/>
          <w:spacing w:val="6"/>
          <w:sz w:val="32"/>
          <w:szCs w:val="32"/>
        </w:rPr>
        <w:t>受</w:t>
      </w:r>
      <w:r>
        <w:rPr>
          <w:rFonts w:hint="eastAsia" w:ascii="仿宋_GB2312" w:hAnsi="仿宋"/>
          <w:sz w:val="32"/>
          <w:szCs w:val="32"/>
        </w:rPr>
        <w:t>贵州省工业和信息化厅（以下简称“省工信厅”）委托</w:t>
      </w:r>
      <w:r>
        <w:rPr>
          <w:rFonts w:hint="eastAsia" w:ascii="仿宋_GB2312"/>
          <w:spacing w:val="6"/>
          <w:sz w:val="32"/>
          <w:szCs w:val="32"/>
        </w:rPr>
        <w:t>，中鼎资信评级服务有限公司（以下简称“中鼎资信”）于2020年4月至2020年5月，对</w:t>
      </w:r>
      <w:r>
        <w:rPr>
          <w:rFonts w:hint="eastAsia" w:ascii="仿宋_GB2312" w:hAnsi="仿宋"/>
          <w:sz w:val="32"/>
          <w:szCs w:val="32"/>
        </w:rPr>
        <w:t>贵州省2019年度工业和信息化发展专项</w:t>
      </w:r>
      <w:r>
        <w:rPr>
          <w:rFonts w:hint="eastAsia" w:ascii="仿宋_GB2312"/>
          <w:spacing w:val="6"/>
          <w:sz w:val="32"/>
          <w:szCs w:val="32"/>
        </w:rPr>
        <w:t>资金（以下简称“工信发展专项资金”或“专项资金”），评价情况摘要如下：</w:t>
      </w:r>
      <w:bookmarkEnd w:id="0"/>
      <w:bookmarkEnd w:id="1"/>
      <w:bookmarkEnd w:id="2"/>
      <w:bookmarkEnd w:id="3"/>
      <w:bookmarkEnd w:id="4"/>
    </w:p>
    <w:p>
      <w:pPr>
        <w:spacing w:line="560" w:lineRule="exact"/>
        <w:ind w:firstLine="664" w:firstLineChars="200"/>
        <w:outlineLvl w:val="0"/>
        <w:rPr>
          <w:rFonts w:ascii="黑体" w:hAnsi="黑体" w:eastAsia="黑体" w:cs="宋体"/>
          <w:spacing w:val="6"/>
          <w:kern w:val="0"/>
          <w:sz w:val="32"/>
          <w:szCs w:val="32"/>
        </w:rPr>
      </w:pPr>
      <w:bookmarkStart w:id="5" w:name="_Toc17972138"/>
      <w:bookmarkStart w:id="6" w:name="_Toc20151698"/>
      <w:bookmarkStart w:id="7" w:name="_Toc40873744"/>
      <w:bookmarkStart w:id="8" w:name="_Toc41419903"/>
      <w:bookmarkStart w:id="9" w:name="_Toc41420772"/>
      <w:bookmarkStart w:id="10" w:name="_Toc17971349"/>
      <w:bookmarkStart w:id="11" w:name="_Toc17971910"/>
      <w:bookmarkStart w:id="12" w:name="_Toc21257894"/>
      <w:bookmarkStart w:id="13" w:name="_Toc17972193"/>
      <w:bookmarkStart w:id="14" w:name="_Toc41419791"/>
      <w:r>
        <w:rPr>
          <w:rFonts w:hint="eastAsia" w:ascii="黑体" w:hAnsi="黑体" w:eastAsia="黑体" w:cs="宋体"/>
          <w:spacing w:val="6"/>
          <w:kern w:val="0"/>
          <w:sz w:val="32"/>
          <w:szCs w:val="32"/>
        </w:rPr>
        <w:t>一、基本情况</w:t>
      </w:r>
      <w:bookmarkEnd w:id="5"/>
      <w:bookmarkEnd w:id="6"/>
      <w:bookmarkEnd w:id="7"/>
      <w:bookmarkEnd w:id="8"/>
      <w:bookmarkEnd w:id="9"/>
      <w:bookmarkEnd w:id="10"/>
      <w:bookmarkEnd w:id="11"/>
      <w:bookmarkEnd w:id="12"/>
      <w:bookmarkEnd w:id="13"/>
      <w:bookmarkEnd w:id="14"/>
    </w:p>
    <w:p>
      <w:pPr>
        <w:spacing w:line="560" w:lineRule="exact"/>
        <w:ind w:firstLine="640" w:firstLineChars="200"/>
        <w:rPr>
          <w:rFonts w:ascii="仿宋_GB2312"/>
          <w:sz w:val="32"/>
          <w:szCs w:val="32"/>
        </w:rPr>
      </w:pPr>
      <w:r>
        <w:rPr>
          <w:rFonts w:hint="eastAsia" w:ascii="仿宋_GB2312"/>
          <w:sz w:val="32"/>
          <w:szCs w:val="32"/>
        </w:rPr>
        <w:t>省工信发展专项资金2019年度支持的项目实施内容主要有支持工业企业结构调整和技术改造、技术创新、节约能源及资源综合利用；扶持民营经济及中小企业发展；推进工业园区建设；保障省委省政府确定的重点产业发展、重点工作开展以及重点项目建设等,以及为完成上述工作进行的规划编制、课题研究和项目管理工作。</w:t>
      </w:r>
    </w:p>
    <w:p>
      <w:pPr>
        <w:spacing w:line="560" w:lineRule="exact"/>
        <w:ind w:firstLine="640" w:firstLineChars="200"/>
        <w:rPr>
          <w:rFonts w:ascii="仿宋_GB2312"/>
          <w:spacing w:val="6"/>
          <w:sz w:val="32"/>
          <w:szCs w:val="32"/>
        </w:rPr>
      </w:pPr>
      <w:r>
        <w:rPr>
          <w:rFonts w:hint="eastAsia" w:ascii="仿宋_GB2312" w:hAnsi="仿宋_GB2312" w:cs="仿宋_GB2312"/>
          <w:sz w:val="32"/>
          <w:szCs w:val="32"/>
        </w:rPr>
        <w:t>本次评价的2019年度工信发展专项资金为49917万元</w:t>
      </w:r>
      <w:r>
        <w:rPr>
          <w:rFonts w:hint="eastAsia" w:ascii="仿宋_GB2312"/>
          <w:spacing w:val="6"/>
          <w:sz w:val="32"/>
          <w:szCs w:val="32"/>
        </w:rPr>
        <w:t>，省级层面已全额进行了拨付，资金拨付率为100%。在预算执行方面，完成了省财政厅“6月底前资金预算执行进度达50%，9月底前资金预算执行进度达90%”的工作要求，预算执行率为100.00%。</w:t>
      </w:r>
    </w:p>
    <w:p>
      <w:pPr>
        <w:spacing w:line="560" w:lineRule="exact"/>
        <w:ind w:firstLine="664" w:firstLineChars="200"/>
        <w:rPr>
          <w:rFonts w:ascii="仿宋_GB2312"/>
          <w:sz w:val="32"/>
          <w:szCs w:val="32"/>
        </w:rPr>
      </w:pPr>
      <w:r>
        <w:rPr>
          <w:rFonts w:hint="eastAsia" w:ascii="仿宋_GB2312"/>
          <w:spacing w:val="6"/>
          <w:sz w:val="32"/>
          <w:szCs w:val="32"/>
        </w:rPr>
        <w:t>本次绩效评价分别从决策、过程、产出、效果四个维度对专项资金绩效进行全面评价。</w:t>
      </w:r>
    </w:p>
    <w:p>
      <w:pPr>
        <w:spacing w:line="560" w:lineRule="exact"/>
        <w:ind w:firstLine="664" w:firstLineChars="200"/>
        <w:outlineLvl w:val="0"/>
        <w:rPr>
          <w:rFonts w:ascii="黑体" w:hAnsi="黑体" w:eastAsia="黑体" w:cs="宋体"/>
          <w:spacing w:val="6"/>
          <w:kern w:val="0"/>
          <w:sz w:val="32"/>
          <w:szCs w:val="32"/>
        </w:rPr>
      </w:pPr>
      <w:bookmarkStart w:id="15" w:name="_Toc41419904"/>
      <w:bookmarkStart w:id="16" w:name="_Toc17972139"/>
      <w:bookmarkStart w:id="17" w:name="_Toc41419792"/>
      <w:bookmarkStart w:id="18" w:name="_Toc21257895"/>
      <w:bookmarkStart w:id="19" w:name="_Toc17971350"/>
      <w:bookmarkStart w:id="20" w:name="_Toc40873745"/>
      <w:bookmarkStart w:id="21" w:name="_Toc41420773"/>
      <w:bookmarkStart w:id="22" w:name="_Toc17971911"/>
      <w:bookmarkStart w:id="23" w:name="_Toc17972194"/>
      <w:bookmarkStart w:id="24" w:name="_Toc20151699"/>
    </w:p>
    <w:p>
      <w:pPr>
        <w:spacing w:line="560" w:lineRule="exact"/>
        <w:ind w:firstLine="664" w:firstLineChars="200"/>
        <w:outlineLvl w:val="0"/>
        <w:rPr>
          <w:rFonts w:ascii="黑体" w:hAnsi="黑体" w:eastAsia="黑体" w:cs="宋体"/>
          <w:spacing w:val="6"/>
          <w:kern w:val="0"/>
          <w:sz w:val="32"/>
          <w:szCs w:val="32"/>
        </w:rPr>
      </w:pPr>
    </w:p>
    <w:p>
      <w:pPr>
        <w:spacing w:line="560" w:lineRule="exact"/>
        <w:ind w:firstLine="664" w:firstLineChars="200"/>
        <w:outlineLvl w:val="0"/>
        <w:rPr>
          <w:rFonts w:ascii="黑体" w:hAnsi="黑体" w:eastAsia="黑体" w:cs="宋体"/>
          <w:spacing w:val="6"/>
          <w:kern w:val="0"/>
          <w:sz w:val="32"/>
          <w:szCs w:val="32"/>
        </w:rPr>
      </w:pPr>
      <w:r>
        <w:rPr>
          <w:rFonts w:hint="eastAsia" w:ascii="黑体" w:hAnsi="黑体" w:eastAsia="黑体" w:cs="宋体"/>
          <w:spacing w:val="6"/>
          <w:kern w:val="0"/>
          <w:sz w:val="32"/>
          <w:szCs w:val="32"/>
        </w:rPr>
        <w:t>二、绩效评价结论</w:t>
      </w:r>
      <w:bookmarkEnd w:id="15"/>
      <w:bookmarkEnd w:id="16"/>
      <w:bookmarkEnd w:id="17"/>
      <w:bookmarkEnd w:id="18"/>
      <w:bookmarkEnd w:id="19"/>
      <w:bookmarkEnd w:id="20"/>
      <w:bookmarkEnd w:id="21"/>
      <w:bookmarkEnd w:id="22"/>
      <w:bookmarkEnd w:id="23"/>
      <w:bookmarkEnd w:id="24"/>
    </w:p>
    <w:p>
      <w:pPr>
        <w:pStyle w:val="16"/>
        <w:ind w:firstLine="664"/>
        <w:rPr>
          <w:b w:val="0"/>
          <w:spacing w:val="6"/>
        </w:rPr>
      </w:pPr>
      <w:bookmarkStart w:id="25" w:name="_Toc19883904"/>
      <w:bookmarkStart w:id="26" w:name="_Toc40873746"/>
      <w:bookmarkStart w:id="27" w:name="_Toc41420774"/>
      <w:bookmarkStart w:id="28" w:name="_Toc41419793"/>
      <w:bookmarkStart w:id="29" w:name="_Toc20151701"/>
      <w:bookmarkStart w:id="30" w:name="_Toc41419905"/>
      <w:bookmarkStart w:id="31" w:name="_Toc21257897"/>
      <w:bookmarkStart w:id="32" w:name="_Toc20151700"/>
      <w:bookmarkStart w:id="33" w:name="_Toc19883903"/>
      <w:bookmarkStart w:id="34" w:name="_Toc21257896"/>
      <w:r>
        <w:rPr>
          <w:rFonts w:hint="eastAsia"/>
          <w:b w:val="0"/>
          <w:spacing w:val="6"/>
        </w:rPr>
        <w:t>（一）绩效评价结果</w:t>
      </w:r>
      <w:bookmarkEnd w:id="25"/>
      <w:bookmarkEnd w:id="26"/>
      <w:bookmarkEnd w:id="27"/>
      <w:bookmarkEnd w:id="28"/>
      <w:bookmarkEnd w:id="29"/>
      <w:bookmarkEnd w:id="30"/>
      <w:bookmarkEnd w:id="31"/>
    </w:p>
    <w:p>
      <w:pPr>
        <w:spacing w:line="560" w:lineRule="exact"/>
        <w:ind w:firstLine="664" w:firstLineChars="200"/>
        <w:rPr>
          <w:rFonts w:ascii="仿宋_GB2312"/>
          <w:spacing w:val="6"/>
          <w:sz w:val="32"/>
          <w:szCs w:val="32"/>
        </w:rPr>
      </w:pPr>
      <w:r>
        <w:rPr>
          <w:rFonts w:hint="eastAsia" w:ascii="仿宋_GB2312"/>
          <w:spacing w:val="6"/>
          <w:sz w:val="32"/>
          <w:szCs w:val="32"/>
        </w:rPr>
        <w:t>2019年度工信发展专项资金绩效评价得分为</w:t>
      </w:r>
      <w:r>
        <w:rPr>
          <w:rFonts w:hint="eastAsia" w:ascii="仿宋_GB2312" w:hAnsi="仿宋"/>
          <w:b/>
          <w:sz w:val="32"/>
          <w:szCs w:val="32"/>
        </w:rPr>
        <w:t>91.81分</w:t>
      </w:r>
      <w:r>
        <w:rPr>
          <w:rFonts w:hint="eastAsia" w:ascii="仿宋_GB2312" w:hAnsi="仿宋"/>
          <w:sz w:val="32"/>
          <w:szCs w:val="32"/>
        </w:rPr>
        <w:t>，绩效评价结果等级为“</w:t>
      </w:r>
      <w:r>
        <w:rPr>
          <w:rFonts w:hint="eastAsia" w:ascii="仿宋_GB2312" w:hAnsi="仿宋"/>
          <w:b/>
          <w:sz w:val="32"/>
          <w:szCs w:val="32"/>
        </w:rPr>
        <w:t>优</w:t>
      </w:r>
      <w:r>
        <w:rPr>
          <w:rFonts w:hint="eastAsia" w:ascii="仿宋_GB2312" w:hAnsi="仿宋"/>
          <w:sz w:val="32"/>
          <w:szCs w:val="32"/>
        </w:rPr>
        <w:t>”。</w:t>
      </w:r>
      <w:r>
        <w:rPr>
          <w:rFonts w:hint="eastAsia" w:ascii="仿宋_GB2312"/>
          <w:spacing w:val="6"/>
          <w:sz w:val="32"/>
          <w:szCs w:val="32"/>
        </w:rPr>
        <w:t>其中决策得分为</w:t>
      </w:r>
      <w:r>
        <w:rPr>
          <w:rFonts w:ascii="仿宋_GB2312"/>
          <w:spacing w:val="6"/>
          <w:sz w:val="32"/>
          <w:szCs w:val="32"/>
        </w:rPr>
        <w:t>1</w:t>
      </w:r>
      <w:r>
        <w:rPr>
          <w:rFonts w:hint="eastAsia" w:ascii="仿宋_GB2312"/>
          <w:spacing w:val="6"/>
          <w:sz w:val="32"/>
          <w:szCs w:val="32"/>
        </w:rPr>
        <w:t>0.5分，得分率为87.50%；过程得分为17分，得分率为85.00%；产出得分为20.31分，得分率为84.63%；效果得分为44分，得分率为100%。</w:t>
      </w:r>
    </w:p>
    <w:p>
      <w:pPr>
        <w:pStyle w:val="16"/>
        <w:ind w:firstLine="664"/>
        <w:rPr>
          <w:b w:val="0"/>
          <w:spacing w:val="6"/>
        </w:rPr>
      </w:pPr>
      <w:bookmarkStart w:id="35" w:name="_Toc40873747"/>
      <w:bookmarkStart w:id="36" w:name="_Toc41419794"/>
      <w:bookmarkStart w:id="37" w:name="_Toc41419906"/>
      <w:bookmarkStart w:id="38" w:name="_Toc41420775"/>
      <w:r>
        <w:rPr>
          <w:rFonts w:hint="eastAsia"/>
          <w:b w:val="0"/>
          <w:spacing w:val="6"/>
        </w:rPr>
        <w:t>（二）</w:t>
      </w:r>
      <w:bookmarkEnd w:id="32"/>
      <w:bookmarkEnd w:id="33"/>
      <w:bookmarkEnd w:id="34"/>
      <w:bookmarkEnd w:id="35"/>
      <w:r>
        <w:rPr>
          <w:rFonts w:hint="eastAsia"/>
          <w:b w:val="0"/>
          <w:spacing w:val="6"/>
        </w:rPr>
        <w:t>综合评价结论</w:t>
      </w:r>
      <w:bookmarkEnd w:id="36"/>
      <w:bookmarkEnd w:id="37"/>
      <w:bookmarkEnd w:id="38"/>
    </w:p>
    <w:p>
      <w:pPr>
        <w:spacing w:line="560" w:lineRule="exact"/>
        <w:ind w:firstLine="640" w:firstLineChars="200"/>
        <w:rPr>
          <w:rFonts w:ascii="仿宋_GB2312"/>
          <w:sz w:val="32"/>
          <w:szCs w:val="32"/>
        </w:rPr>
      </w:pPr>
      <w:bookmarkStart w:id="39" w:name="_Toc17972140"/>
      <w:bookmarkStart w:id="40" w:name="_Toc21257898"/>
      <w:bookmarkStart w:id="41" w:name="_Toc20151702"/>
      <w:bookmarkStart w:id="42" w:name="_Toc17971351"/>
      <w:bookmarkStart w:id="43" w:name="_Toc17971912"/>
      <w:bookmarkStart w:id="44" w:name="_Toc40873748"/>
      <w:bookmarkStart w:id="45" w:name="_Toc17972195"/>
      <w:r>
        <w:rPr>
          <w:rFonts w:hint="eastAsia" w:ascii="仿宋_GB2312"/>
          <w:sz w:val="32"/>
          <w:szCs w:val="32"/>
        </w:rPr>
        <w:t>省工信厅在2019年全省经济下行压力较大的情况下，根据贵州省委、省政府十大千亿级工业产业振兴行动等安排部署，以工信发展专项资金带动社会资本，支持工业经济发展，持续推进“千企改造”工程，保证了全省工业经济运行总体平稳，较好发挥了专项资金的作用，总体目标完成较好。</w:t>
      </w:r>
    </w:p>
    <w:p>
      <w:pPr>
        <w:spacing w:line="560" w:lineRule="exact"/>
        <w:ind w:firstLine="664" w:firstLineChars="200"/>
        <w:outlineLvl w:val="0"/>
        <w:rPr>
          <w:rFonts w:ascii="黑体" w:hAnsi="黑体" w:eastAsia="黑体" w:cs="宋体"/>
          <w:spacing w:val="6"/>
          <w:kern w:val="0"/>
          <w:sz w:val="32"/>
          <w:szCs w:val="32"/>
        </w:rPr>
      </w:pPr>
      <w:bookmarkStart w:id="46" w:name="_Toc41420776"/>
      <w:bookmarkStart w:id="47" w:name="_Toc41419907"/>
      <w:bookmarkStart w:id="48" w:name="_Toc41419795"/>
      <w:r>
        <w:rPr>
          <w:rFonts w:hint="eastAsia" w:ascii="黑体" w:hAnsi="黑体" w:eastAsia="黑体" w:cs="宋体"/>
          <w:spacing w:val="6"/>
          <w:kern w:val="0"/>
          <w:sz w:val="32"/>
          <w:szCs w:val="32"/>
        </w:rPr>
        <w:t>三、主要经验及做法</w:t>
      </w:r>
      <w:bookmarkEnd w:id="39"/>
      <w:bookmarkEnd w:id="40"/>
      <w:bookmarkEnd w:id="41"/>
      <w:bookmarkEnd w:id="42"/>
      <w:bookmarkEnd w:id="43"/>
      <w:bookmarkEnd w:id="44"/>
      <w:bookmarkEnd w:id="45"/>
      <w:bookmarkEnd w:id="46"/>
      <w:bookmarkEnd w:id="47"/>
      <w:bookmarkEnd w:id="48"/>
    </w:p>
    <w:p>
      <w:pPr>
        <w:spacing w:line="560" w:lineRule="exact"/>
        <w:ind w:firstLine="642" w:firstLineChars="200"/>
        <w:rPr>
          <w:rFonts w:ascii="仿宋_GB2312"/>
          <w:bCs/>
          <w:sz w:val="32"/>
          <w:szCs w:val="32"/>
        </w:rPr>
      </w:pPr>
      <w:bookmarkStart w:id="49" w:name="_Toc17971352"/>
      <w:bookmarkStart w:id="50" w:name="_Toc17972196"/>
      <w:bookmarkStart w:id="51" w:name="_Toc20151703"/>
      <w:bookmarkStart w:id="52" w:name="_Toc17972141"/>
      <w:bookmarkStart w:id="53" w:name="_Toc21257899"/>
      <w:bookmarkStart w:id="54" w:name="_Toc17971913"/>
      <w:bookmarkStart w:id="55" w:name="_Toc40873749"/>
      <w:r>
        <w:rPr>
          <w:rFonts w:hint="eastAsia" w:ascii="仿宋_GB2312"/>
          <w:b/>
          <w:bCs/>
          <w:sz w:val="32"/>
          <w:szCs w:val="32"/>
        </w:rPr>
        <w:t>一是</w:t>
      </w:r>
      <w:r>
        <w:rPr>
          <w:rFonts w:hint="eastAsia" w:ascii="仿宋_GB2312"/>
          <w:bCs/>
          <w:sz w:val="32"/>
          <w:szCs w:val="32"/>
        </w:rPr>
        <w:t>技术创新项目均实行合同管理，预设考核目标和鉴定验收标准，引导企业实施项目内容，既能有效提取和分析数据，又方便调度企业，所有项目实行闭环管理，保证了项目实施后有效果。</w:t>
      </w:r>
    </w:p>
    <w:p>
      <w:pPr>
        <w:adjustRightInd w:val="0"/>
        <w:snapToGrid w:val="0"/>
        <w:spacing w:line="560" w:lineRule="exact"/>
        <w:ind w:firstLine="666" w:firstLineChars="200"/>
        <w:rPr>
          <w:rFonts w:ascii="仿宋_GB2312" w:hAnsi="仿宋_GB2312" w:cs="仿宋_GB2312"/>
          <w:sz w:val="32"/>
          <w:szCs w:val="32"/>
        </w:rPr>
      </w:pPr>
      <w:r>
        <w:rPr>
          <w:rFonts w:hint="eastAsia" w:ascii="仿宋_GB2312" w:hAnsi="仿宋" w:cs="仿宋"/>
          <w:b/>
          <w:spacing w:val="6"/>
          <w:sz w:val="32"/>
          <w:szCs w:val="32"/>
        </w:rPr>
        <w:t>二是</w:t>
      </w:r>
      <w:r>
        <w:rPr>
          <w:rFonts w:hint="eastAsia" w:ascii="仿宋_GB2312" w:hAnsi="仿宋_GB2312" w:cs="仿宋_GB2312"/>
          <w:sz w:val="32"/>
          <w:szCs w:val="32"/>
        </w:rPr>
        <w:t>实施工业园区科学考核评价和调整整合，合理有序强化基础设施建设，优化工业园区管理服务，大力整改工业园区“形式主义”，实实在在推进园区产业招商，推动了园区健康发展。</w:t>
      </w:r>
    </w:p>
    <w:p>
      <w:pPr>
        <w:spacing w:line="560" w:lineRule="exact"/>
        <w:ind w:firstLine="642" w:firstLineChars="200"/>
        <w:rPr>
          <w:sz w:val="32"/>
          <w:szCs w:val="32"/>
        </w:rPr>
      </w:pPr>
      <w:r>
        <w:rPr>
          <w:rFonts w:hint="eastAsia"/>
          <w:b/>
          <w:sz w:val="32"/>
          <w:szCs w:val="32"/>
        </w:rPr>
        <w:t>三是</w:t>
      </w:r>
      <w:r>
        <w:rPr>
          <w:rFonts w:hint="eastAsia"/>
          <w:sz w:val="32"/>
          <w:szCs w:val="32"/>
        </w:rPr>
        <w:t>有效推动中小企业技术改造和转型升级，提升了中小企业品牌建设意识，增强了企业的市场竞争力，推进了中小企业服务体系的建设，充分发挥了创业对就业的带动效应，为促进就业创业、助推脱贫攻坚、带动了地方经济社会发展。</w:t>
      </w:r>
    </w:p>
    <w:p>
      <w:pPr>
        <w:spacing w:line="560" w:lineRule="exact"/>
        <w:ind w:firstLine="664" w:firstLineChars="200"/>
        <w:outlineLvl w:val="0"/>
        <w:rPr>
          <w:rFonts w:ascii="黑体" w:hAnsi="黑体" w:eastAsia="黑体" w:cs="宋体"/>
          <w:spacing w:val="6"/>
          <w:kern w:val="0"/>
          <w:sz w:val="32"/>
          <w:szCs w:val="32"/>
        </w:rPr>
      </w:pPr>
      <w:bookmarkStart w:id="56" w:name="_Toc41419908"/>
      <w:bookmarkStart w:id="57" w:name="_Toc41420777"/>
      <w:bookmarkStart w:id="58" w:name="_Toc41419796"/>
      <w:r>
        <w:rPr>
          <w:rFonts w:hint="eastAsia" w:ascii="黑体" w:hAnsi="黑体" w:eastAsia="黑体" w:cs="宋体"/>
          <w:spacing w:val="6"/>
          <w:kern w:val="0"/>
          <w:sz w:val="32"/>
          <w:szCs w:val="32"/>
        </w:rPr>
        <w:t>四、存在问题</w:t>
      </w:r>
      <w:bookmarkEnd w:id="49"/>
      <w:bookmarkEnd w:id="50"/>
      <w:bookmarkEnd w:id="51"/>
      <w:bookmarkEnd w:id="52"/>
      <w:bookmarkEnd w:id="53"/>
      <w:bookmarkEnd w:id="54"/>
      <w:bookmarkEnd w:id="55"/>
      <w:bookmarkEnd w:id="56"/>
      <w:bookmarkEnd w:id="57"/>
      <w:bookmarkEnd w:id="58"/>
    </w:p>
    <w:p>
      <w:pPr>
        <w:pStyle w:val="16"/>
        <w:ind w:firstLine="664"/>
        <w:rPr>
          <w:b w:val="0"/>
          <w:spacing w:val="6"/>
        </w:rPr>
      </w:pPr>
      <w:bookmarkStart w:id="59" w:name="_Toc41419909"/>
      <w:bookmarkStart w:id="60" w:name="_Toc41420778"/>
      <w:bookmarkStart w:id="61" w:name="_Toc41419797"/>
      <w:bookmarkStart w:id="62" w:name="_Toc17972142"/>
      <w:bookmarkStart w:id="63" w:name="_Toc40873754"/>
      <w:bookmarkStart w:id="64" w:name="_Toc21257907"/>
      <w:bookmarkStart w:id="65" w:name="_Toc20151710"/>
      <w:bookmarkStart w:id="66" w:name="_Toc17971914"/>
      <w:bookmarkStart w:id="67" w:name="_Toc17971353"/>
      <w:bookmarkStart w:id="68" w:name="_Toc17972197"/>
      <w:r>
        <w:rPr>
          <w:rFonts w:hint="eastAsia"/>
          <w:b w:val="0"/>
          <w:spacing w:val="6"/>
        </w:rPr>
        <w:t>（一）绩效目标及绩效指标设置需进一步优化</w:t>
      </w:r>
      <w:bookmarkEnd w:id="59"/>
      <w:bookmarkEnd w:id="60"/>
      <w:bookmarkEnd w:id="61"/>
    </w:p>
    <w:p>
      <w:pPr>
        <w:spacing w:line="560" w:lineRule="exact"/>
        <w:ind w:firstLine="640" w:firstLineChars="200"/>
        <w:rPr>
          <w:rFonts w:ascii="仿宋_GB2312" w:hAnsi="黑体"/>
          <w:sz w:val="32"/>
          <w:szCs w:val="32"/>
        </w:rPr>
      </w:pPr>
      <w:r>
        <w:rPr>
          <w:rFonts w:hint="eastAsia" w:ascii="仿宋_GB2312" w:hAnsi="黑体"/>
          <w:sz w:val="32"/>
          <w:szCs w:val="32"/>
        </w:rPr>
        <w:t>2019年度省工信专项资金绩效目标相对宏观，一定程度上存在绩效指标</w:t>
      </w:r>
      <w:r>
        <w:rPr>
          <w:rFonts w:hint="eastAsia" w:ascii="仿宋_GB2312"/>
          <w:spacing w:val="6"/>
          <w:sz w:val="32"/>
          <w:szCs w:val="32"/>
        </w:rPr>
        <w:t>与工信专项资金绩效目标对应性不足</w:t>
      </w:r>
      <w:r>
        <w:rPr>
          <w:rFonts w:hint="eastAsia" w:ascii="仿宋_GB2312" w:hAnsi="黑体"/>
          <w:sz w:val="32"/>
          <w:szCs w:val="32"/>
        </w:rPr>
        <w:t>，</w:t>
      </w:r>
      <w:r>
        <w:rPr>
          <w:rFonts w:hint="eastAsia" w:ascii="仿宋_GB2312" w:hAnsi="仿宋"/>
          <w:sz w:val="32"/>
          <w:szCs w:val="32"/>
        </w:rPr>
        <w:t>个别绩效指标值不易衡量专</w:t>
      </w:r>
      <w:r>
        <w:rPr>
          <w:rFonts w:hint="eastAsia" w:ascii="仿宋_GB2312" w:hAnsi="黑体"/>
          <w:sz w:val="32"/>
          <w:szCs w:val="32"/>
        </w:rPr>
        <w:t>项资金产生的效益的情况。</w:t>
      </w:r>
    </w:p>
    <w:p>
      <w:pPr>
        <w:pStyle w:val="16"/>
        <w:ind w:firstLine="664"/>
        <w:rPr>
          <w:b w:val="0"/>
          <w:spacing w:val="6"/>
        </w:rPr>
      </w:pPr>
      <w:bookmarkStart w:id="69" w:name="_Toc41419910"/>
      <w:bookmarkStart w:id="70" w:name="_Toc41420779"/>
      <w:bookmarkStart w:id="71" w:name="_Toc41419798"/>
      <w:r>
        <w:rPr>
          <w:rFonts w:hint="eastAsia"/>
          <w:b w:val="0"/>
          <w:spacing w:val="6"/>
        </w:rPr>
        <w:t>（二）资金及项目过程管理需进一步加强</w:t>
      </w:r>
      <w:bookmarkEnd w:id="69"/>
      <w:bookmarkEnd w:id="70"/>
      <w:bookmarkEnd w:id="71"/>
    </w:p>
    <w:p>
      <w:pPr>
        <w:spacing w:line="560" w:lineRule="exact"/>
        <w:ind w:firstLine="642" w:firstLineChars="200"/>
        <w:rPr>
          <w:rFonts w:ascii="仿宋_GB2312" w:hAnsi="黑体"/>
          <w:sz w:val="32"/>
          <w:szCs w:val="32"/>
        </w:rPr>
      </w:pPr>
      <w:r>
        <w:rPr>
          <w:rFonts w:hint="eastAsia" w:ascii="仿宋_GB2312" w:hAnsi="黑体"/>
          <w:b/>
          <w:sz w:val="32"/>
          <w:szCs w:val="32"/>
        </w:rPr>
        <w:t>一是</w:t>
      </w:r>
      <w:r>
        <w:rPr>
          <w:rFonts w:hint="eastAsia" w:ascii="仿宋_GB2312" w:hAnsi="黑体"/>
          <w:sz w:val="32"/>
          <w:szCs w:val="32"/>
        </w:rPr>
        <w:t>个别项目专项资金管理规范性还存在不足，有项目实施单位存在未进行独立核算和入账方式不规范等情况。</w:t>
      </w:r>
    </w:p>
    <w:p>
      <w:pPr>
        <w:spacing w:line="560" w:lineRule="exact"/>
        <w:ind w:firstLine="642" w:firstLineChars="200"/>
        <w:rPr>
          <w:rFonts w:ascii="仿宋_GB2312" w:hAnsi="黑体"/>
          <w:sz w:val="32"/>
          <w:szCs w:val="32"/>
        </w:rPr>
      </w:pPr>
      <w:r>
        <w:rPr>
          <w:rFonts w:hint="eastAsia" w:ascii="仿宋_GB2312" w:hAnsi="黑体"/>
          <w:b/>
          <w:sz w:val="32"/>
          <w:szCs w:val="32"/>
        </w:rPr>
        <w:t>二是</w:t>
      </w:r>
      <w:r>
        <w:rPr>
          <w:rFonts w:hint="eastAsia" w:ascii="仿宋_GB2312" w:hAnsi="黑体"/>
          <w:sz w:val="32"/>
          <w:szCs w:val="32"/>
        </w:rPr>
        <w:t>个别项目实施单位未建立财务和业务管理制度，</w:t>
      </w:r>
      <w:r>
        <w:rPr>
          <w:rFonts w:hint="eastAsia" w:ascii="仿宋_GB2312" w:hAnsi="微软雅黑"/>
          <w:spacing w:val="6"/>
          <w:sz w:val="32"/>
          <w:szCs w:val="32"/>
        </w:rPr>
        <w:t>或有财务制度没有管理制度的情况</w:t>
      </w:r>
      <w:r>
        <w:rPr>
          <w:rFonts w:hint="eastAsia" w:ascii="仿宋_GB2312" w:hAnsi="黑体"/>
          <w:sz w:val="32"/>
          <w:szCs w:val="32"/>
        </w:rPr>
        <w:t>。</w:t>
      </w:r>
    </w:p>
    <w:p>
      <w:pPr>
        <w:spacing w:line="560" w:lineRule="exact"/>
        <w:ind w:firstLine="642" w:firstLineChars="200"/>
        <w:rPr>
          <w:rFonts w:ascii="仿宋_GB2312" w:hAnsi="黑体"/>
          <w:sz w:val="32"/>
          <w:szCs w:val="32"/>
        </w:rPr>
      </w:pPr>
      <w:r>
        <w:rPr>
          <w:rFonts w:hint="eastAsia" w:ascii="仿宋_GB2312" w:hAnsi="黑体"/>
          <w:b/>
          <w:sz w:val="32"/>
          <w:szCs w:val="32"/>
        </w:rPr>
        <w:t>三是</w:t>
      </w:r>
      <w:r>
        <w:rPr>
          <w:rFonts w:hint="eastAsia" w:ascii="仿宋_GB2312" w:hAnsi="黑体"/>
          <w:sz w:val="32"/>
          <w:szCs w:val="32"/>
        </w:rPr>
        <w:t>个别项目延期建设，未履行相关调整手续。</w:t>
      </w:r>
    </w:p>
    <w:p>
      <w:pPr>
        <w:pStyle w:val="16"/>
        <w:ind w:firstLine="664"/>
        <w:rPr>
          <w:b w:val="0"/>
          <w:spacing w:val="6"/>
        </w:rPr>
      </w:pPr>
      <w:bookmarkStart w:id="72" w:name="_Toc41420780"/>
      <w:bookmarkStart w:id="73" w:name="_Toc41419799"/>
      <w:bookmarkStart w:id="74" w:name="_Toc41419911"/>
      <w:r>
        <w:rPr>
          <w:rFonts w:hint="eastAsia"/>
          <w:b w:val="0"/>
          <w:spacing w:val="6"/>
        </w:rPr>
        <w:t>（三）项目验收组织工作需进一步强化</w:t>
      </w:r>
      <w:bookmarkEnd w:id="72"/>
      <w:bookmarkEnd w:id="73"/>
      <w:bookmarkEnd w:id="74"/>
    </w:p>
    <w:p>
      <w:pPr>
        <w:spacing w:line="560" w:lineRule="exact"/>
        <w:ind w:firstLine="664" w:firstLineChars="200"/>
        <w:rPr>
          <w:rFonts w:ascii="仿宋_GB2312" w:hAnsi="黑体"/>
          <w:sz w:val="32"/>
          <w:szCs w:val="32"/>
        </w:rPr>
      </w:pPr>
      <w:r>
        <w:rPr>
          <w:rFonts w:hint="eastAsia" w:ascii="仿宋_GB2312"/>
          <w:spacing w:val="6"/>
          <w:sz w:val="32"/>
          <w:szCs w:val="32"/>
        </w:rPr>
        <w:t>部分项目存在项目实施单位在项目完成后主观不提请验收，或提请申请验收后主管部门未能及时回应情况，客观上也有</w:t>
      </w:r>
      <w:r>
        <w:rPr>
          <w:rFonts w:hint="eastAsia" w:ascii="仿宋_GB2312" w:hAnsi="微软雅黑"/>
          <w:spacing w:val="6"/>
          <w:sz w:val="32"/>
          <w:szCs w:val="32"/>
        </w:rPr>
        <w:t>受新冠肺炎疫情影响验收进度等</w:t>
      </w:r>
      <w:r>
        <w:rPr>
          <w:rFonts w:hint="eastAsia" w:ascii="仿宋_GB2312"/>
          <w:spacing w:val="6"/>
          <w:sz w:val="32"/>
          <w:szCs w:val="32"/>
        </w:rPr>
        <w:t>因素。本次现场重点勘查抽样的25个项目中，已完工应</w:t>
      </w:r>
      <w:r>
        <w:rPr>
          <w:rFonts w:hint="eastAsia" w:ascii="仿宋_GB2312" w:hAnsi="微软雅黑"/>
          <w:spacing w:val="6"/>
          <w:sz w:val="32"/>
          <w:szCs w:val="32"/>
        </w:rPr>
        <w:t>进行验收的项目为10个，受新冠肺炎疫情影响，实际完成验收的项目为1个，其他应验收项目正在组织验收中。</w:t>
      </w:r>
    </w:p>
    <w:p>
      <w:pPr>
        <w:spacing w:line="560" w:lineRule="exact"/>
        <w:ind w:firstLine="664" w:firstLineChars="200"/>
        <w:outlineLvl w:val="0"/>
        <w:rPr>
          <w:rFonts w:ascii="黑体" w:hAnsi="黑体" w:eastAsia="黑体" w:cs="宋体"/>
          <w:spacing w:val="6"/>
          <w:kern w:val="0"/>
          <w:sz w:val="32"/>
          <w:szCs w:val="32"/>
        </w:rPr>
      </w:pPr>
      <w:bookmarkStart w:id="75" w:name="_Toc41419800"/>
      <w:bookmarkStart w:id="76" w:name="_Toc41420781"/>
      <w:bookmarkStart w:id="77" w:name="_Toc41419912"/>
      <w:r>
        <w:rPr>
          <w:rFonts w:hint="eastAsia" w:ascii="黑体" w:hAnsi="黑体" w:eastAsia="黑体" w:cs="宋体"/>
          <w:spacing w:val="6"/>
          <w:kern w:val="0"/>
          <w:sz w:val="32"/>
          <w:szCs w:val="32"/>
        </w:rPr>
        <w:t>五、相关建议</w:t>
      </w:r>
      <w:bookmarkEnd w:id="62"/>
      <w:bookmarkEnd w:id="63"/>
      <w:bookmarkEnd w:id="64"/>
      <w:bookmarkEnd w:id="65"/>
      <w:bookmarkEnd w:id="66"/>
      <w:bookmarkEnd w:id="67"/>
      <w:bookmarkEnd w:id="68"/>
      <w:bookmarkEnd w:id="75"/>
      <w:bookmarkEnd w:id="76"/>
      <w:bookmarkEnd w:id="77"/>
    </w:p>
    <w:p>
      <w:pPr>
        <w:pStyle w:val="16"/>
        <w:ind w:firstLine="664"/>
        <w:rPr>
          <w:b w:val="0"/>
          <w:spacing w:val="6"/>
        </w:rPr>
      </w:pPr>
      <w:bookmarkStart w:id="78" w:name="_Toc41419913"/>
      <w:bookmarkStart w:id="79" w:name="_Toc41420782"/>
      <w:bookmarkStart w:id="80" w:name="_Toc41419801"/>
      <w:bookmarkStart w:id="81" w:name="_Toc40873759"/>
      <w:bookmarkStart w:id="82" w:name="_Toc20151715"/>
      <w:bookmarkStart w:id="83" w:name="_Toc17971915"/>
      <w:bookmarkStart w:id="84" w:name="_Toc17972198"/>
      <w:bookmarkStart w:id="85" w:name="_Toc17972143"/>
      <w:bookmarkStart w:id="86" w:name="_Toc17971354"/>
      <w:bookmarkStart w:id="87" w:name="_Toc21257912"/>
      <w:r>
        <w:rPr>
          <w:rFonts w:hint="eastAsia"/>
          <w:b w:val="0"/>
          <w:spacing w:val="6"/>
        </w:rPr>
        <w:t>（一）进一步加强预算绩效目标管理，科学编制绩效目标</w:t>
      </w:r>
      <w:bookmarkEnd w:id="78"/>
      <w:bookmarkEnd w:id="79"/>
      <w:bookmarkEnd w:id="80"/>
    </w:p>
    <w:p>
      <w:pPr>
        <w:spacing w:line="560" w:lineRule="exact"/>
        <w:ind w:firstLine="640" w:firstLineChars="200"/>
        <w:rPr>
          <w:rFonts w:ascii="仿宋_GB2312" w:hAnsi="黑体"/>
          <w:sz w:val="32"/>
          <w:szCs w:val="32"/>
        </w:rPr>
      </w:pPr>
      <w:r>
        <w:rPr>
          <w:rFonts w:hint="eastAsia" w:ascii="仿宋_GB2312" w:hAnsi="黑体"/>
          <w:sz w:val="32"/>
          <w:szCs w:val="32"/>
        </w:rPr>
        <w:t>主管部门要从项目申报环节予以高度重视，加强绩效目标编制知识的学习和理解，按照绩效管理要求和专项资金的特点，建立和完善详细、量化和可衡量的绩效目标及指标体系，合理、完整地反映财政专项经费的产出及效果。</w:t>
      </w:r>
    </w:p>
    <w:p>
      <w:pPr>
        <w:pStyle w:val="16"/>
        <w:ind w:firstLine="664"/>
        <w:rPr>
          <w:b w:val="0"/>
          <w:spacing w:val="6"/>
        </w:rPr>
      </w:pPr>
      <w:bookmarkStart w:id="88" w:name="_Toc41419914"/>
      <w:bookmarkStart w:id="89" w:name="_Toc41419802"/>
      <w:bookmarkStart w:id="90" w:name="_Toc41420783"/>
      <w:r>
        <w:rPr>
          <w:rFonts w:hint="eastAsia"/>
          <w:b w:val="0"/>
          <w:spacing w:val="6"/>
        </w:rPr>
        <w:t>（二）严格专项资金项目管理要求，加强项目过程管控</w:t>
      </w:r>
      <w:bookmarkEnd w:id="88"/>
      <w:bookmarkEnd w:id="89"/>
      <w:bookmarkEnd w:id="90"/>
    </w:p>
    <w:p>
      <w:pPr>
        <w:spacing w:line="560" w:lineRule="exact"/>
        <w:ind w:firstLine="642" w:firstLineChars="200"/>
        <w:rPr>
          <w:rFonts w:ascii="仿宋_GB2312" w:hAnsi="黑体"/>
          <w:sz w:val="32"/>
          <w:szCs w:val="32"/>
        </w:rPr>
      </w:pPr>
      <w:r>
        <w:rPr>
          <w:rFonts w:hint="eastAsia" w:ascii="仿宋_GB2312" w:hAnsi="黑体"/>
          <w:b/>
          <w:sz w:val="32"/>
          <w:szCs w:val="32"/>
        </w:rPr>
        <w:t>一是</w:t>
      </w:r>
      <w:r>
        <w:rPr>
          <w:rFonts w:hint="eastAsia" w:ascii="仿宋_GB2312"/>
          <w:spacing w:val="6"/>
          <w:sz w:val="32"/>
          <w:szCs w:val="32"/>
        </w:rPr>
        <w:t>严格要求项目实施单位按专项资金的管理要求，对专项资金进行专账管理和单独核算；</w:t>
      </w:r>
      <w:r>
        <w:rPr>
          <w:rFonts w:hint="eastAsia" w:ascii="仿宋_GB2312"/>
          <w:b/>
          <w:spacing w:val="6"/>
          <w:sz w:val="32"/>
          <w:szCs w:val="32"/>
        </w:rPr>
        <w:t>二是</w:t>
      </w:r>
      <w:r>
        <w:rPr>
          <w:rFonts w:hint="eastAsia" w:ascii="仿宋_GB2312"/>
          <w:spacing w:val="6"/>
          <w:sz w:val="32"/>
          <w:szCs w:val="32"/>
        </w:rPr>
        <w:t>必须要求所有的项目实施单位建立合法、合规、完整的财务和业务管理制度，让项目实施工作“有章可循、有制可依”；</w:t>
      </w:r>
      <w:r>
        <w:rPr>
          <w:rFonts w:hint="eastAsia" w:ascii="仿宋_GB2312"/>
          <w:b/>
          <w:spacing w:val="6"/>
          <w:sz w:val="32"/>
          <w:szCs w:val="32"/>
        </w:rPr>
        <w:t>三是</w:t>
      </w:r>
      <w:r>
        <w:rPr>
          <w:rFonts w:hint="eastAsia" w:ascii="仿宋_GB2312"/>
          <w:spacing w:val="6"/>
          <w:sz w:val="32"/>
          <w:szCs w:val="32"/>
        </w:rPr>
        <w:t>要求项目实施单位</w:t>
      </w:r>
      <w:r>
        <w:rPr>
          <w:rFonts w:hint="eastAsia" w:ascii="仿宋_GB2312" w:hAnsi="黑体"/>
          <w:sz w:val="32"/>
          <w:szCs w:val="32"/>
        </w:rPr>
        <w:t>提升项目管理的认识，</w:t>
      </w:r>
      <w:r>
        <w:rPr>
          <w:rFonts w:hint="eastAsia" w:ascii="仿宋_GB2312"/>
          <w:spacing w:val="6"/>
          <w:sz w:val="32"/>
          <w:szCs w:val="32"/>
        </w:rPr>
        <w:t>必须经严格的申请审批程序，同时工信各级主管部门加大</w:t>
      </w:r>
      <w:r>
        <w:rPr>
          <w:rFonts w:hint="eastAsia" w:ascii="仿宋_GB2312" w:hAnsi="黑体"/>
          <w:sz w:val="32"/>
          <w:szCs w:val="32"/>
        </w:rPr>
        <w:t>对项目的监督，监管中发现的问题，及时提出整改要求并限时办理</w:t>
      </w:r>
      <w:r>
        <w:rPr>
          <w:rFonts w:hint="eastAsia" w:ascii="仿宋_GB2312"/>
          <w:spacing w:val="6"/>
          <w:sz w:val="32"/>
          <w:szCs w:val="32"/>
        </w:rPr>
        <w:t>。</w:t>
      </w:r>
    </w:p>
    <w:p>
      <w:pPr>
        <w:pStyle w:val="16"/>
        <w:ind w:firstLine="664"/>
        <w:rPr>
          <w:b w:val="0"/>
          <w:spacing w:val="6"/>
        </w:rPr>
      </w:pPr>
      <w:bookmarkStart w:id="91" w:name="_Toc41419803"/>
      <w:bookmarkStart w:id="92" w:name="_Toc41419915"/>
      <w:bookmarkStart w:id="93" w:name="_Toc41420784"/>
      <w:r>
        <w:rPr>
          <w:rFonts w:hint="eastAsia"/>
          <w:b w:val="0"/>
          <w:spacing w:val="6"/>
        </w:rPr>
        <w:t>（三）专题研究部署，切实做好项目验收管理工作</w:t>
      </w:r>
      <w:bookmarkEnd w:id="91"/>
      <w:bookmarkEnd w:id="92"/>
      <w:bookmarkEnd w:id="93"/>
    </w:p>
    <w:p>
      <w:pPr>
        <w:spacing w:line="560" w:lineRule="exact"/>
        <w:ind w:firstLine="664" w:firstLineChars="200"/>
        <w:rPr>
          <w:rFonts w:ascii="仿宋_GB2312"/>
          <w:spacing w:val="6"/>
          <w:sz w:val="32"/>
          <w:szCs w:val="32"/>
        </w:rPr>
      </w:pPr>
      <w:r>
        <w:rPr>
          <w:rFonts w:hint="eastAsia" w:ascii="仿宋_GB2312"/>
          <w:spacing w:val="6"/>
          <w:sz w:val="32"/>
          <w:szCs w:val="32"/>
        </w:rPr>
        <w:t>建议主管部门对项目验收管理工作开展调研摸底，针对验收组织存在的具体问题进行专题研究，进一步明确各级工信部门在项目验收管理的职责和负面清单，优化形成项目验收管理机制，并建立检查通报等制度。必要时可采取购买服务，借助第三方对专项资金实施项目进行验收。</w:t>
      </w:r>
    </w:p>
    <w:p>
      <w:pPr>
        <w:spacing w:line="560" w:lineRule="exact"/>
        <w:ind w:firstLine="664" w:firstLineChars="200"/>
        <w:outlineLvl w:val="0"/>
        <w:rPr>
          <w:rFonts w:ascii="黑体" w:hAnsi="黑体" w:eastAsia="黑体" w:cs="宋体"/>
          <w:spacing w:val="6"/>
          <w:kern w:val="0"/>
          <w:sz w:val="32"/>
          <w:szCs w:val="32"/>
        </w:rPr>
      </w:pPr>
      <w:bookmarkStart w:id="94" w:name="_Toc41419804"/>
      <w:bookmarkStart w:id="95" w:name="_Toc41419916"/>
      <w:bookmarkStart w:id="96" w:name="_Toc41420785"/>
      <w:r>
        <w:rPr>
          <w:rFonts w:hint="eastAsia" w:ascii="黑体" w:hAnsi="黑体" w:eastAsia="黑体" w:cs="宋体"/>
          <w:spacing w:val="6"/>
          <w:kern w:val="0"/>
          <w:sz w:val="32"/>
          <w:szCs w:val="32"/>
        </w:rPr>
        <w:t>六、绩效评价结果应用建议</w:t>
      </w:r>
      <w:bookmarkEnd w:id="81"/>
      <w:bookmarkEnd w:id="82"/>
      <w:bookmarkEnd w:id="83"/>
      <w:bookmarkEnd w:id="84"/>
      <w:bookmarkEnd w:id="85"/>
      <w:bookmarkEnd w:id="86"/>
      <w:bookmarkEnd w:id="87"/>
      <w:bookmarkEnd w:id="94"/>
      <w:bookmarkEnd w:id="95"/>
      <w:bookmarkEnd w:id="96"/>
    </w:p>
    <w:p>
      <w:pPr>
        <w:pStyle w:val="16"/>
        <w:ind w:firstLine="667"/>
        <w:rPr>
          <w:rFonts w:ascii="仿宋_GB2312" w:eastAsia="仿宋_GB2312"/>
          <w:b w:val="0"/>
          <w:spacing w:val="6"/>
        </w:rPr>
      </w:pPr>
      <w:bookmarkStart w:id="97" w:name="_Toc40873760"/>
      <w:bookmarkStart w:id="98" w:name="_Toc21257913"/>
      <w:bookmarkStart w:id="99" w:name="_Toc41420786"/>
      <w:bookmarkStart w:id="100" w:name="_Toc41419805"/>
      <w:bookmarkStart w:id="101" w:name="_Toc41419917"/>
      <w:bookmarkStart w:id="102" w:name="_Toc20151716"/>
      <w:r>
        <w:rPr>
          <w:rFonts w:hint="eastAsia" w:ascii="仿宋_GB2312" w:eastAsia="仿宋_GB2312"/>
          <w:spacing w:val="6"/>
        </w:rPr>
        <w:t>一是</w:t>
      </w:r>
      <w:r>
        <w:rPr>
          <w:rFonts w:hint="eastAsia" w:ascii="仿宋_GB2312" w:eastAsia="仿宋_GB2312"/>
          <w:b w:val="0"/>
          <w:spacing w:val="6"/>
        </w:rPr>
        <w:t>落实问题整改</w:t>
      </w:r>
      <w:bookmarkEnd w:id="97"/>
      <w:bookmarkEnd w:id="98"/>
      <w:r>
        <w:rPr>
          <w:rFonts w:hint="eastAsia" w:ascii="仿宋_GB2312" w:eastAsia="仿宋_GB2312"/>
          <w:b w:val="0"/>
          <w:spacing w:val="6"/>
        </w:rPr>
        <w:t>。</w:t>
      </w:r>
      <w:r>
        <w:rPr>
          <w:rFonts w:hint="eastAsia" w:ascii="仿宋_GB2312" w:eastAsia="仿宋_GB2312"/>
          <w:spacing w:val="6"/>
        </w:rPr>
        <w:t>二是</w:t>
      </w:r>
      <w:bookmarkStart w:id="103" w:name="_Toc40873761"/>
      <w:bookmarkStart w:id="104" w:name="_Toc21257914"/>
      <w:r>
        <w:rPr>
          <w:rFonts w:hint="eastAsia" w:ascii="仿宋_GB2312" w:eastAsia="仿宋_GB2312"/>
          <w:b w:val="0"/>
          <w:spacing w:val="6"/>
        </w:rPr>
        <w:t>推进信息公开</w:t>
      </w:r>
      <w:bookmarkEnd w:id="103"/>
      <w:bookmarkEnd w:id="104"/>
      <w:r>
        <w:rPr>
          <w:rFonts w:hint="eastAsia" w:ascii="仿宋_GB2312" w:eastAsia="仿宋_GB2312"/>
          <w:b w:val="0"/>
          <w:spacing w:val="6"/>
        </w:rPr>
        <w:t>。</w:t>
      </w:r>
      <w:bookmarkEnd w:id="99"/>
      <w:bookmarkEnd w:id="100"/>
      <w:bookmarkEnd w:id="101"/>
    </w:p>
    <w:bookmarkEnd w:id="102"/>
    <w:p>
      <w:pPr>
        <w:widowControl/>
        <w:jc w:val="left"/>
        <w:rPr>
          <w:rFonts w:ascii="黑体" w:hAnsi="黑体" w:eastAsia="黑体"/>
          <w:b/>
          <w:sz w:val="44"/>
          <w:szCs w:val="44"/>
        </w:rPr>
        <w:sectPr>
          <w:footerReference r:id="rId5" w:type="default"/>
          <w:footerReference r:id="rId6" w:type="even"/>
          <w:type w:val="nextColumn"/>
          <w:pgSz w:w="11906" w:h="16838"/>
          <w:pgMar w:top="1985" w:right="1474" w:bottom="1871" w:left="1474" w:header="851" w:footer="992" w:gutter="0"/>
          <w:pgNumType w:fmt="numberInDash" w:start="1"/>
          <w:cols w:space="425" w:num="1"/>
          <w:docGrid w:type="lines" w:linePitch="312" w:charSpace="0"/>
        </w:sectPr>
      </w:pPr>
    </w:p>
    <w:p>
      <w:pPr>
        <w:jc w:val="center"/>
        <w:outlineLvl w:val="0"/>
        <w:rPr>
          <w:rFonts w:ascii="方正小标宋简体" w:hAnsi="黑体" w:eastAsia="方正小标宋简体"/>
          <w:sz w:val="44"/>
          <w:szCs w:val="44"/>
        </w:rPr>
      </w:pPr>
      <w:bookmarkStart w:id="105" w:name="_Toc17972144"/>
      <w:bookmarkStart w:id="106" w:name="_Toc530726038"/>
      <w:bookmarkStart w:id="107" w:name="_Toc528242321"/>
      <w:bookmarkStart w:id="108" w:name="_Toc528163171"/>
      <w:bookmarkStart w:id="109" w:name="_Toc17971355"/>
      <w:bookmarkStart w:id="110" w:name="_Toc527757977"/>
      <w:bookmarkStart w:id="111" w:name="_Toc21257918"/>
      <w:bookmarkStart w:id="112" w:name="_Toc17972199"/>
      <w:bookmarkStart w:id="113" w:name="_Toc17971916"/>
      <w:bookmarkStart w:id="114" w:name="_Toc41420787"/>
      <w:bookmarkStart w:id="115" w:name="_Toc20151719"/>
      <w:r>
        <w:rPr>
          <w:rFonts w:hint="eastAsia" w:ascii="方正小标宋简体" w:hAnsi="黑体" w:eastAsia="方正小标宋简体"/>
          <w:sz w:val="44"/>
          <w:szCs w:val="44"/>
        </w:rPr>
        <w:t>目　录</w:t>
      </w:r>
      <w:bookmarkEnd w:id="105"/>
      <w:bookmarkEnd w:id="106"/>
      <w:bookmarkEnd w:id="107"/>
      <w:bookmarkEnd w:id="108"/>
      <w:bookmarkEnd w:id="109"/>
      <w:bookmarkEnd w:id="110"/>
      <w:bookmarkEnd w:id="111"/>
      <w:bookmarkEnd w:id="112"/>
      <w:bookmarkEnd w:id="113"/>
      <w:bookmarkEnd w:id="114"/>
      <w:bookmarkEnd w:id="115"/>
    </w:p>
    <w:p>
      <w:pPr>
        <w:pStyle w:val="14"/>
        <w:rPr>
          <w:rFonts w:cstheme="minorBidi"/>
          <w:smallCaps/>
        </w:rPr>
      </w:pPr>
      <w:r>
        <w:rPr>
          <w:smallCaps/>
        </w:rPr>
        <w:fldChar w:fldCharType="begin"/>
      </w:r>
      <w:r>
        <w:instrText xml:space="preserve"> TOC \o "1-2" \h \z \u </w:instrText>
      </w:r>
      <w:r>
        <w:rPr>
          <w:smallCaps/>
        </w:rPr>
        <w:fldChar w:fldCharType="separate"/>
      </w:r>
    </w:p>
    <w:p>
      <w:pPr>
        <w:pStyle w:val="14"/>
        <w:rPr>
          <w:rFonts w:cstheme="minorBidi"/>
          <w:spacing w:val="0"/>
        </w:rPr>
      </w:pPr>
      <w:r>
        <w:fldChar w:fldCharType="begin"/>
      </w:r>
      <w:r>
        <w:instrText xml:space="preserve"> HYPERLINK \l "_Toc41420788" </w:instrText>
      </w:r>
      <w:r>
        <w:fldChar w:fldCharType="separate"/>
      </w:r>
      <w:r>
        <w:rPr>
          <w:rStyle w:val="26"/>
          <w:rFonts w:hint="eastAsia"/>
          <w:b/>
        </w:rPr>
        <w:t>一、绩效评价目的</w:t>
      </w:r>
      <w:r>
        <w:tab/>
      </w:r>
      <w:r>
        <w:fldChar w:fldCharType="begin"/>
      </w:r>
      <w:r>
        <w:instrText xml:space="preserve"> PAGEREF _Toc41420788 \h </w:instrText>
      </w:r>
      <w:r>
        <w:fldChar w:fldCharType="separate"/>
      </w:r>
      <w:r>
        <w:t>1</w:t>
      </w:r>
      <w:r>
        <w:fldChar w:fldCharType="end"/>
      </w:r>
      <w:r>
        <w:fldChar w:fldCharType="end"/>
      </w:r>
    </w:p>
    <w:p>
      <w:pPr>
        <w:pStyle w:val="14"/>
        <w:rPr>
          <w:rFonts w:cstheme="minorBidi"/>
          <w:spacing w:val="0"/>
        </w:rPr>
      </w:pPr>
      <w:r>
        <w:fldChar w:fldCharType="begin"/>
      </w:r>
      <w:r>
        <w:instrText xml:space="preserve"> HYPERLINK \l "_Toc41420789" </w:instrText>
      </w:r>
      <w:r>
        <w:fldChar w:fldCharType="separate"/>
      </w:r>
      <w:r>
        <w:rPr>
          <w:rStyle w:val="26"/>
          <w:rFonts w:hint="eastAsia"/>
          <w:b/>
        </w:rPr>
        <w:t>二、基本情况</w:t>
      </w:r>
      <w:r>
        <w:tab/>
      </w:r>
      <w:r>
        <w:fldChar w:fldCharType="begin"/>
      </w:r>
      <w:r>
        <w:instrText xml:space="preserve"> PAGEREF _Toc41420789 \h </w:instrText>
      </w:r>
      <w:r>
        <w:fldChar w:fldCharType="separate"/>
      </w:r>
      <w:r>
        <w:t>2</w:t>
      </w:r>
      <w:r>
        <w:fldChar w:fldCharType="end"/>
      </w:r>
      <w: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"_Toc41420790" </w:instrText>
      </w:r>
      <w:r>
        <w:fldChar w:fldCharType="separate"/>
      </w:r>
      <w:r>
        <w:rPr>
          <w:rStyle w:val="26"/>
          <w:rFonts w:hint="eastAsia" w:asciiTheme="minorEastAsia" w:hAnsiTheme="minorEastAsia" w:eastAsiaTheme="minorEastAsia"/>
          <w:spacing w:val="6"/>
          <w:sz w:val="28"/>
          <w:szCs w:val="28"/>
        </w:rPr>
        <w:t>（一）项目概况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"_Toc41420791" </w:instrText>
      </w:r>
      <w:r>
        <w:fldChar w:fldCharType="separate"/>
      </w:r>
      <w:r>
        <w:rPr>
          <w:rStyle w:val="26"/>
          <w:rFonts w:hint="eastAsia" w:asciiTheme="minorEastAsia" w:hAnsiTheme="minorEastAsia" w:eastAsiaTheme="minorEastAsia"/>
          <w:spacing w:val="6"/>
          <w:sz w:val="28"/>
          <w:szCs w:val="28"/>
        </w:rPr>
        <w:t>（二）项目绩效目标设立情况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"_Toc41420792" </w:instrText>
      </w:r>
      <w:r>
        <w:fldChar w:fldCharType="separate"/>
      </w:r>
      <w:r>
        <w:rPr>
          <w:rStyle w:val="26"/>
          <w:rFonts w:hint="eastAsia" w:asciiTheme="minorEastAsia" w:hAnsiTheme="minorEastAsia" w:eastAsiaTheme="minorEastAsia"/>
          <w:spacing w:val="6"/>
          <w:sz w:val="28"/>
          <w:szCs w:val="28"/>
        </w:rPr>
        <w:t>（三）项目资金安排及拨付情况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_Toc41420792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"_Toc41420793" </w:instrText>
      </w:r>
      <w:r>
        <w:fldChar w:fldCharType="separate"/>
      </w:r>
      <w:r>
        <w:rPr>
          <w:rStyle w:val="26"/>
          <w:rFonts w:hint="eastAsia" w:asciiTheme="minorEastAsia" w:hAnsiTheme="minorEastAsia" w:eastAsiaTheme="minorEastAsia"/>
          <w:spacing w:val="6"/>
          <w:sz w:val="28"/>
          <w:szCs w:val="28"/>
        </w:rPr>
        <w:t>（四）项目实施内容及进展情况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rPr>
          <w:rFonts w:cstheme="minorBidi"/>
          <w:spacing w:val="0"/>
        </w:rPr>
      </w:pPr>
      <w:r>
        <w:fldChar w:fldCharType="begin"/>
      </w:r>
      <w:r>
        <w:instrText xml:space="preserve"> HYPERLINK \l "_Toc41420794" </w:instrText>
      </w:r>
      <w:r>
        <w:fldChar w:fldCharType="separate"/>
      </w:r>
      <w:r>
        <w:rPr>
          <w:rStyle w:val="26"/>
          <w:rFonts w:hint="eastAsia"/>
          <w:b/>
        </w:rPr>
        <w:t>三、绩效评价组织情况</w:t>
      </w:r>
      <w:r>
        <w:tab/>
      </w:r>
      <w:r>
        <w:fldChar w:fldCharType="begin"/>
      </w:r>
      <w:r>
        <w:instrText xml:space="preserve"> PAGEREF _Toc41420794 \h </w:instrText>
      </w:r>
      <w:r>
        <w:fldChar w:fldCharType="separate"/>
      </w:r>
      <w:r>
        <w:t>8</w:t>
      </w:r>
      <w:r>
        <w:fldChar w:fldCharType="end"/>
      </w:r>
      <w: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"_Toc41420795" </w:instrText>
      </w:r>
      <w:r>
        <w:fldChar w:fldCharType="separate"/>
      </w:r>
      <w:r>
        <w:rPr>
          <w:rStyle w:val="26"/>
          <w:rFonts w:hint="eastAsia" w:asciiTheme="minorEastAsia" w:hAnsiTheme="minorEastAsia" w:eastAsiaTheme="minorEastAsia"/>
          <w:spacing w:val="6"/>
          <w:sz w:val="28"/>
          <w:szCs w:val="28"/>
        </w:rPr>
        <w:t>（一）绩效评价依据</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"_Toc41420796" </w:instrText>
      </w:r>
      <w:r>
        <w:fldChar w:fldCharType="separate"/>
      </w:r>
      <w:r>
        <w:rPr>
          <w:rStyle w:val="26"/>
          <w:rFonts w:hint="eastAsia" w:asciiTheme="minorEastAsia" w:hAnsiTheme="minorEastAsia" w:eastAsiaTheme="minorEastAsia"/>
          <w:spacing w:val="6"/>
          <w:sz w:val="28"/>
          <w:szCs w:val="28"/>
        </w:rPr>
        <w:t>（二）绩效评价工作程序</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"_Toc41420797" </w:instrText>
      </w:r>
      <w:r>
        <w:fldChar w:fldCharType="separate"/>
      </w:r>
      <w:r>
        <w:rPr>
          <w:rStyle w:val="26"/>
          <w:rFonts w:hint="eastAsia" w:asciiTheme="minorEastAsia" w:hAnsiTheme="minorEastAsia" w:eastAsiaTheme="minorEastAsia"/>
          <w:spacing w:val="6"/>
          <w:sz w:val="28"/>
          <w:szCs w:val="28"/>
        </w:rPr>
        <w:t>（三）绩效评价方法、标准与结果等级</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_Toc41420797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"_Toc41420798" </w:instrText>
      </w:r>
      <w:r>
        <w:fldChar w:fldCharType="separate"/>
      </w:r>
      <w:r>
        <w:rPr>
          <w:rStyle w:val="26"/>
          <w:rFonts w:hint="eastAsia" w:asciiTheme="minorEastAsia" w:hAnsiTheme="minorEastAsia" w:eastAsiaTheme="minorEastAsia"/>
          <w:spacing w:val="6"/>
          <w:sz w:val="28"/>
          <w:szCs w:val="28"/>
        </w:rPr>
        <w:t>（四）绩效评价指标体系</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_Toc41420798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12</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rPr>
          <w:rFonts w:cstheme="minorBidi"/>
          <w:spacing w:val="0"/>
        </w:rPr>
      </w:pPr>
      <w:r>
        <w:fldChar w:fldCharType="begin"/>
      </w:r>
      <w:r>
        <w:instrText xml:space="preserve"> HYPERLINK \l "_Toc41420799" </w:instrText>
      </w:r>
      <w:r>
        <w:fldChar w:fldCharType="separate"/>
      </w:r>
      <w:r>
        <w:rPr>
          <w:rStyle w:val="26"/>
          <w:rFonts w:hint="eastAsia"/>
          <w:b/>
        </w:rPr>
        <w:t>四、绩效评价结论。</w:t>
      </w:r>
      <w:r>
        <w:tab/>
      </w:r>
      <w:r>
        <w:fldChar w:fldCharType="begin"/>
      </w:r>
      <w:r>
        <w:instrText xml:space="preserve"> PAGEREF _Toc41420799 \h </w:instrText>
      </w:r>
      <w:r>
        <w:fldChar w:fldCharType="separate"/>
      </w:r>
      <w:r>
        <w:t>13</w:t>
      </w:r>
      <w:r>
        <w:fldChar w:fldCharType="end"/>
      </w:r>
      <w: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"_Toc41420800" </w:instrText>
      </w:r>
      <w:r>
        <w:fldChar w:fldCharType="separate"/>
      </w:r>
      <w:r>
        <w:rPr>
          <w:rStyle w:val="26"/>
          <w:rFonts w:hint="eastAsia" w:asciiTheme="minorEastAsia" w:hAnsiTheme="minorEastAsia" w:eastAsiaTheme="minorEastAsia"/>
          <w:spacing w:val="6"/>
          <w:sz w:val="28"/>
          <w:szCs w:val="28"/>
        </w:rPr>
        <w:t>（一）绩效评价综合结论</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_Toc41420800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"_Toc41420801" </w:instrText>
      </w:r>
      <w:r>
        <w:fldChar w:fldCharType="separate"/>
      </w:r>
      <w:r>
        <w:rPr>
          <w:rStyle w:val="26"/>
          <w:rFonts w:hint="eastAsia" w:asciiTheme="minorEastAsia" w:hAnsiTheme="minorEastAsia" w:eastAsiaTheme="minorEastAsia"/>
          <w:spacing w:val="6"/>
          <w:sz w:val="28"/>
          <w:szCs w:val="28"/>
        </w:rPr>
        <w:t>（二）绩效目标实现情况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_Toc41420801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13</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rPr>
          <w:rFonts w:cstheme="minorBidi"/>
          <w:spacing w:val="0"/>
        </w:rPr>
      </w:pPr>
      <w:r>
        <w:fldChar w:fldCharType="begin"/>
      </w:r>
      <w:r>
        <w:instrText xml:space="preserve"> HYPERLINK \l "_Toc41420802" </w:instrText>
      </w:r>
      <w:r>
        <w:fldChar w:fldCharType="separate"/>
      </w:r>
      <w:r>
        <w:rPr>
          <w:rStyle w:val="26"/>
          <w:rFonts w:hint="eastAsia"/>
          <w:b/>
        </w:rPr>
        <w:t>五、绩效评价情况分析</w:t>
      </w:r>
      <w:r>
        <w:tab/>
      </w:r>
      <w:r>
        <w:fldChar w:fldCharType="begin"/>
      </w:r>
      <w:r>
        <w:instrText xml:space="preserve"> PAGEREF _Toc41420802 \h </w:instrText>
      </w:r>
      <w:r>
        <w:fldChar w:fldCharType="separate"/>
      </w:r>
      <w:r>
        <w:t>15</w:t>
      </w:r>
      <w:r>
        <w:fldChar w:fldCharType="end"/>
      </w:r>
      <w: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"_Toc41420803" </w:instrText>
      </w:r>
      <w:r>
        <w:fldChar w:fldCharType="separate"/>
      </w:r>
      <w:r>
        <w:rPr>
          <w:rStyle w:val="26"/>
          <w:rFonts w:hint="eastAsia" w:asciiTheme="minorEastAsia" w:hAnsiTheme="minorEastAsia" w:eastAsiaTheme="minorEastAsia"/>
          <w:spacing w:val="6"/>
          <w:sz w:val="28"/>
          <w:szCs w:val="28"/>
        </w:rPr>
        <w:t>（一）决策情况分析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_Toc41420803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"_Toc41420804" </w:instrText>
      </w:r>
      <w:r>
        <w:fldChar w:fldCharType="separate"/>
      </w:r>
      <w:r>
        <w:rPr>
          <w:rStyle w:val="26"/>
          <w:rFonts w:hint="eastAsia" w:asciiTheme="minorEastAsia" w:hAnsiTheme="minorEastAsia" w:eastAsiaTheme="minorEastAsia"/>
          <w:spacing w:val="6"/>
          <w:sz w:val="28"/>
          <w:szCs w:val="28"/>
        </w:rPr>
        <w:t>（二）过程情况分析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_Toc41420804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sz w:val="28"/>
          <w:szCs w:val="28"/>
        </w:rPr>
      </w:pPr>
      <w:r>
        <w:fldChar w:fldCharType="begin"/>
      </w:r>
      <w:r>
        <w:instrText xml:space="preserve"> HYPERLINK \l "_Toc41420805" </w:instrText>
      </w:r>
      <w:r>
        <w:fldChar w:fldCharType="separate"/>
      </w:r>
      <w:r>
        <w:rPr>
          <w:rStyle w:val="26"/>
          <w:rFonts w:hint="eastAsia" w:asciiTheme="minorEastAsia" w:hAnsiTheme="minorEastAsia" w:eastAsiaTheme="minorEastAsia"/>
          <w:spacing w:val="6"/>
          <w:sz w:val="28"/>
          <w:szCs w:val="28"/>
        </w:rPr>
        <w:t>（三）产出情况分析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_Toc41420805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8"/>
        <w:tabs>
          <w:tab w:val="right" w:leader="dot" w:pos="8948"/>
        </w:tabs>
        <w:ind w:left="0" w:firstLine="400" w:firstLineChars="200"/>
        <w:rPr>
          <w:rFonts w:asciiTheme="minorEastAsia" w:hAnsiTheme="minorEastAsia" w:eastAsiaTheme="minorEastAsia" w:cstheme="minorBidi"/>
          <w:smallCaps w:val="0"/>
          <w:sz w:val="28"/>
          <w:szCs w:val="28"/>
        </w:rPr>
      </w:pPr>
      <w:r>
        <w:fldChar w:fldCharType="begin"/>
      </w:r>
      <w:r>
        <w:instrText xml:space="preserve"> HYPERLINK \l "_Toc41420806" </w:instrText>
      </w:r>
      <w:r>
        <w:fldChar w:fldCharType="separate"/>
      </w:r>
      <w:r>
        <w:rPr>
          <w:rStyle w:val="26"/>
          <w:rFonts w:hint="eastAsia" w:asciiTheme="minorEastAsia" w:hAnsiTheme="minorEastAsia" w:eastAsiaTheme="minorEastAsia"/>
          <w:spacing w:val="6"/>
          <w:sz w:val="28"/>
          <w:szCs w:val="28"/>
        </w:rPr>
        <w:t>（四）效益情况分析</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_Toc41420806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4"/>
        <w:rPr>
          <w:rFonts w:cstheme="minorBidi"/>
          <w:b/>
          <w:spacing w:val="0"/>
        </w:rPr>
      </w:pPr>
      <w:r>
        <w:fldChar w:fldCharType="begin"/>
      </w:r>
      <w:r>
        <w:instrText xml:space="preserve"> HYPERLINK \l "_Toc41420807" </w:instrText>
      </w:r>
      <w:r>
        <w:fldChar w:fldCharType="separate"/>
      </w:r>
      <w:r>
        <w:rPr>
          <w:rStyle w:val="26"/>
          <w:rFonts w:hint="eastAsia"/>
          <w:b/>
        </w:rPr>
        <w:t>六、主要经验及做法</w:t>
      </w:r>
      <w:r>
        <w:rPr>
          <w:b/>
        </w:rPr>
        <w:tab/>
      </w:r>
      <w:r>
        <w:rPr>
          <w:b/>
        </w:rPr>
        <w:fldChar w:fldCharType="begin"/>
      </w:r>
      <w:r>
        <w:rPr>
          <w:b/>
        </w:rPr>
        <w:instrText xml:space="preserve"> PAGEREF _Toc41420807 \h </w:instrText>
      </w:r>
      <w:r>
        <w:rPr>
          <w:b/>
        </w:rPr>
        <w:fldChar w:fldCharType="separate"/>
      </w:r>
      <w:r>
        <w:rPr>
          <w:b/>
        </w:rPr>
        <w:t>24</w:t>
      </w:r>
      <w:r>
        <w:rPr>
          <w:b/>
        </w:rPr>
        <w:fldChar w:fldCharType="end"/>
      </w:r>
      <w:r>
        <w:rPr>
          <w:b/>
        </w:rPr>
        <w:fldChar w:fldCharType="end"/>
      </w:r>
    </w:p>
    <w:p>
      <w:pPr>
        <w:pStyle w:val="14"/>
        <w:rPr>
          <w:rFonts w:cstheme="minorBidi"/>
          <w:b/>
          <w:spacing w:val="0"/>
        </w:rPr>
      </w:pPr>
      <w:r>
        <w:fldChar w:fldCharType="begin"/>
      </w:r>
      <w:r>
        <w:instrText xml:space="preserve"> HYPERLINK \l "_Toc41420808" </w:instrText>
      </w:r>
      <w:r>
        <w:fldChar w:fldCharType="separate"/>
      </w:r>
      <w:r>
        <w:rPr>
          <w:rStyle w:val="26"/>
          <w:rFonts w:hint="eastAsia"/>
          <w:b/>
        </w:rPr>
        <w:t>七、存在问题及原因分析</w:t>
      </w:r>
      <w:r>
        <w:rPr>
          <w:b/>
        </w:rPr>
        <w:tab/>
      </w:r>
      <w:r>
        <w:rPr>
          <w:b/>
        </w:rPr>
        <w:fldChar w:fldCharType="begin"/>
      </w:r>
      <w:r>
        <w:rPr>
          <w:b/>
        </w:rPr>
        <w:instrText xml:space="preserve"> PAGEREF _Toc41420808 \h </w:instrText>
      </w:r>
      <w:r>
        <w:rPr>
          <w:b/>
        </w:rPr>
        <w:fldChar w:fldCharType="separate"/>
      </w:r>
      <w:r>
        <w:rPr>
          <w:b/>
        </w:rPr>
        <w:t>25</w:t>
      </w:r>
      <w:r>
        <w:rPr>
          <w:b/>
        </w:rPr>
        <w:fldChar w:fldCharType="end"/>
      </w:r>
      <w:r>
        <w:rPr>
          <w:b/>
        </w:rPr>
        <w:fldChar w:fldCharType="end"/>
      </w:r>
    </w:p>
    <w:p>
      <w:pPr>
        <w:pStyle w:val="14"/>
        <w:rPr>
          <w:rFonts w:cstheme="minorBidi"/>
          <w:b/>
          <w:spacing w:val="0"/>
        </w:rPr>
      </w:pPr>
      <w:r>
        <w:fldChar w:fldCharType="begin"/>
      </w:r>
      <w:r>
        <w:instrText xml:space="preserve"> HYPERLINK \l "_Toc41420812" </w:instrText>
      </w:r>
      <w:r>
        <w:fldChar w:fldCharType="separate"/>
      </w:r>
      <w:r>
        <w:rPr>
          <w:rStyle w:val="26"/>
          <w:rFonts w:hint="eastAsia"/>
          <w:b/>
        </w:rPr>
        <w:t>八、相关建议</w:t>
      </w:r>
      <w:r>
        <w:rPr>
          <w:b/>
        </w:rPr>
        <w:tab/>
      </w:r>
      <w:r>
        <w:rPr>
          <w:b/>
        </w:rPr>
        <w:fldChar w:fldCharType="begin"/>
      </w:r>
      <w:r>
        <w:rPr>
          <w:b/>
        </w:rPr>
        <w:instrText xml:space="preserve"> PAGEREF _Toc41420812 \h </w:instrText>
      </w:r>
      <w:r>
        <w:rPr>
          <w:b/>
        </w:rPr>
        <w:fldChar w:fldCharType="separate"/>
      </w:r>
      <w:r>
        <w:rPr>
          <w:b/>
        </w:rPr>
        <w:t>27</w:t>
      </w:r>
      <w:r>
        <w:rPr>
          <w:b/>
        </w:rPr>
        <w:fldChar w:fldCharType="end"/>
      </w:r>
      <w:r>
        <w:rPr>
          <w:b/>
        </w:rPr>
        <w:fldChar w:fldCharType="end"/>
      </w:r>
    </w:p>
    <w:p>
      <w:pPr>
        <w:pStyle w:val="14"/>
        <w:rPr>
          <w:rFonts w:cstheme="minorBidi"/>
          <w:b/>
          <w:spacing w:val="0"/>
        </w:rPr>
      </w:pPr>
      <w:r>
        <w:fldChar w:fldCharType="begin"/>
      </w:r>
      <w:r>
        <w:instrText xml:space="preserve"> HYPERLINK \l "_Toc41420813" </w:instrText>
      </w:r>
      <w:r>
        <w:fldChar w:fldCharType="separate"/>
      </w:r>
      <w:r>
        <w:rPr>
          <w:rStyle w:val="26"/>
          <w:rFonts w:hint="eastAsia"/>
          <w:b/>
        </w:rPr>
        <w:t>九、绩效评价结果应用建议</w:t>
      </w:r>
      <w:r>
        <w:rPr>
          <w:b/>
        </w:rPr>
        <w:tab/>
      </w:r>
      <w:r>
        <w:rPr>
          <w:b/>
        </w:rPr>
        <w:fldChar w:fldCharType="begin"/>
      </w:r>
      <w:r>
        <w:rPr>
          <w:b/>
        </w:rPr>
        <w:instrText xml:space="preserve"> PAGEREF _Toc41420813 \h </w:instrText>
      </w:r>
      <w:r>
        <w:rPr>
          <w:b/>
        </w:rPr>
        <w:fldChar w:fldCharType="separate"/>
      </w:r>
      <w:r>
        <w:rPr>
          <w:b/>
        </w:rPr>
        <w:t>28</w:t>
      </w:r>
      <w:r>
        <w:rPr>
          <w:b/>
        </w:rPr>
        <w:fldChar w:fldCharType="end"/>
      </w:r>
      <w:r>
        <w:rPr>
          <w:b/>
        </w:rPr>
        <w:fldChar w:fldCharType="end"/>
      </w:r>
    </w:p>
    <w:p>
      <w:pPr>
        <w:pStyle w:val="14"/>
        <w:rPr>
          <w:rStyle w:val="26"/>
          <w:b/>
        </w:rPr>
      </w:pPr>
      <w:r>
        <w:fldChar w:fldCharType="begin"/>
      </w:r>
      <w:r>
        <w:instrText xml:space="preserve"> HYPERLINK \l "_Toc41420816" </w:instrText>
      </w:r>
      <w:r>
        <w:fldChar w:fldCharType="separate"/>
      </w:r>
      <w:r>
        <w:rPr>
          <w:rStyle w:val="26"/>
          <w:rFonts w:hint="eastAsia"/>
          <w:b/>
        </w:rPr>
        <w:t>十、其它需说明的问题</w:t>
      </w:r>
      <w:r>
        <w:rPr>
          <w:b/>
        </w:rPr>
        <w:tab/>
      </w:r>
      <w:r>
        <w:rPr>
          <w:b/>
        </w:rPr>
        <w:fldChar w:fldCharType="begin"/>
      </w:r>
      <w:r>
        <w:rPr>
          <w:b/>
        </w:rPr>
        <w:instrText xml:space="preserve"> PAGEREF _Toc41420816 \h </w:instrText>
      </w:r>
      <w:r>
        <w:rPr>
          <w:b/>
        </w:rPr>
        <w:fldChar w:fldCharType="separate"/>
      </w:r>
      <w:r>
        <w:rPr>
          <w:b/>
        </w:rPr>
        <w:t>28</w:t>
      </w:r>
      <w:r>
        <w:rPr>
          <w:b/>
        </w:rPr>
        <w:fldChar w:fldCharType="end"/>
      </w:r>
      <w:r>
        <w:rPr>
          <w:b/>
        </w:rPr>
        <w:fldChar w:fldCharType="end"/>
      </w:r>
    </w:p>
    <w:p>
      <w:pPr>
        <w:pStyle w:val="14"/>
        <w:rPr>
          <w:rFonts w:cstheme="minorBidi"/>
          <w:b/>
          <w:spacing w:val="0"/>
        </w:rPr>
      </w:pPr>
      <w:r>
        <w:fldChar w:fldCharType="begin"/>
      </w:r>
      <w:r>
        <w:instrText xml:space="preserve"> HYPERLINK \l "_Toc41420816" </w:instrText>
      </w:r>
      <w:r>
        <w:fldChar w:fldCharType="separate"/>
      </w:r>
      <w:r>
        <w:rPr>
          <w:rStyle w:val="26"/>
          <w:rFonts w:hint="eastAsia"/>
          <w:b/>
        </w:rPr>
        <w:t>附件</w:t>
      </w:r>
      <w:r>
        <w:rPr>
          <w:b/>
        </w:rPr>
        <w:tab/>
      </w:r>
      <w:r>
        <w:rPr>
          <w:b/>
        </w:rPr>
        <w:fldChar w:fldCharType="begin"/>
      </w:r>
      <w:r>
        <w:rPr>
          <w:b/>
        </w:rPr>
        <w:instrText xml:space="preserve"> PAGEREF _Toc41420816 \h </w:instrText>
      </w:r>
      <w:r>
        <w:rPr>
          <w:b/>
        </w:rPr>
        <w:fldChar w:fldCharType="separate"/>
      </w:r>
      <w:r>
        <w:rPr>
          <w:b/>
        </w:rPr>
        <w:t>28</w:t>
      </w:r>
      <w:r>
        <w:rPr>
          <w:b/>
        </w:rPr>
        <w:fldChar w:fldCharType="end"/>
      </w:r>
      <w:r>
        <w:rPr>
          <w:b/>
        </w:rPr>
        <w:fldChar w:fldCharType="end"/>
      </w:r>
    </w:p>
    <w:p/>
    <w:p>
      <w:pPr>
        <w:spacing w:line="360" w:lineRule="auto"/>
        <w:jc w:val="center"/>
        <w:rPr>
          <w:rFonts w:ascii="黑体" w:hAnsi="黑体" w:eastAsia="黑体"/>
          <w:b/>
          <w:sz w:val="32"/>
          <w:szCs w:val="32"/>
        </w:rPr>
      </w:pPr>
      <w:r>
        <w:rPr>
          <w:rFonts w:asciiTheme="minorEastAsia" w:hAnsiTheme="minorEastAsia" w:eastAsiaTheme="minorEastAsia" w:cstheme="minorHAnsi"/>
          <w:b/>
          <w:bCs/>
          <w:caps/>
          <w:sz w:val="28"/>
          <w:szCs w:val="28"/>
        </w:rPr>
        <w:fldChar w:fldCharType="end"/>
      </w:r>
    </w:p>
    <w:p>
      <w:pPr>
        <w:spacing w:line="360" w:lineRule="auto"/>
        <w:jc w:val="center"/>
        <w:rPr>
          <w:rFonts w:ascii="黑体" w:hAnsi="黑体" w:eastAsia="黑体"/>
          <w:b/>
          <w:sz w:val="32"/>
          <w:szCs w:val="32"/>
        </w:rPr>
      </w:pPr>
    </w:p>
    <w:p>
      <w:pPr>
        <w:spacing w:line="560" w:lineRule="exact"/>
        <w:jc w:val="center"/>
        <w:outlineLvl w:val="0"/>
        <w:rPr>
          <w:rFonts w:ascii="黑体" w:hAnsi="黑体" w:eastAsia="黑体"/>
          <w:sz w:val="32"/>
          <w:szCs w:val="32"/>
        </w:rPr>
        <w:sectPr>
          <w:footerReference r:id="rId7" w:type="default"/>
          <w:footerReference r:id="rId8" w:type="even"/>
          <w:type w:val="nextColumn"/>
          <w:pgSz w:w="11906" w:h="16838"/>
          <w:pgMar w:top="1985" w:right="1474" w:bottom="1871" w:left="1474" w:header="851" w:footer="992" w:gutter="0"/>
          <w:pgNumType w:start="1"/>
          <w:cols w:space="425" w:num="1"/>
          <w:docGrid w:type="lines" w:linePitch="312" w:charSpace="0"/>
        </w:sectPr>
      </w:pPr>
      <w:bookmarkStart w:id="116" w:name="_Toc528071970"/>
      <w:bookmarkStart w:id="117" w:name="_Toc527805292"/>
    </w:p>
    <w:bookmarkEnd w:id="116"/>
    <w:bookmarkEnd w:id="117"/>
    <w:p>
      <w:pPr>
        <w:widowControl/>
        <w:jc w:val="center"/>
        <w:rPr>
          <w:rFonts w:ascii="方正小标宋简体" w:eastAsia="方正小标宋简体"/>
          <w:sz w:val="44"/>
          <w:szCs w:val="44"/>
        </w:rPr>
      </w:pPr>
      <w:r>
        <w:rPr>
          <w:rFonts w:hint="eastAsia" w:ascii="方正小标宋简体" w:eastAsia="方正小标宋简体"/>
          <w:sz w:val="44"/>
          <w:szCs w:val="44"/>
        </w:rPr>
        <w:t>贵州省工业和信息化厅</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2019年度工业和信息化发展专项资金</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绩效评价报告</w:t>
      </w:r>
    </w:p>
    <w:p>
      <w:pPr>
        <w:spacing w:line="700" w:lineRule="exact"/>
        <w:jc w:val="center"/>
        <w:rPr>
          <w:rFonts w:ascii="方正小标宋简体" w:eastAsia="方正小标宋简体"/>
          <w:sz w:val="44"/>
          <w:szCs w:val="44"/>
        </w:rPr>
      </w:pPr>
    </w:p>
    <w:p>
      <w:pPr>
        <w:spacing w:line="560" w:lineRule="exact"/>
        <w:ind w:firstLine="640" w:firstLineChars="200"/>
        <w:rPr>
          <w:rFonts w:ascii="仿宋_GB2312"/>
          <w:spacing w:val="6"/>
          <w:sz w:val="32"/>
          <w:szCs w:val="32"/>
        </w:rPr>
      </w:pPr>
      <w:bookmarkStart w:id="118" w:name="_Toc17972145"/>
      <w:bookmarkStart w:id="119" w:name="_Toc17972200"/>
      <w:bookmarkStart w:id="120" w:name="_Toc17971917"/>
      <w:bookmarkStart w:id="121" w:name="_Toc17971356"/>
      <w:r>
        <w:rPr>
          <w:rFonts w:hint="eastAsia" w:ascii="仿宋_GB2312" w:cs="宋体" w:hAnsiTheme="minorEastAsia"/>
          <w:kern w:val="0"/>
          <w:sz w:val="32"/>
          <w:szCs w:val="32"/>
        </w:rPr>
        <w:t>为切实履行部门主体责任，进一步推进部门预算绩效管理，提高财政资源配置效率和使用效益，按照《中华人民</w:t>
      </w:r>
      <w:r>
        <w:rPr>
          <w:rFonts w:hint="eastAsia" w:ascii="仿宋_GB2312" w:cs="宋体" w:hAnsiTheme="minorEastAsia"/>
          <w:kern w:val="0"/>
          <w:sz w:val="32"/>
          <w:szCs w:val="32"/>
          <w:lang w:eastAsia="zh-CN"/>
        </w:rPr>
        <w:t>共和国</w:t>
      </w:r>
      <w:r>
        <w:rPr>
          <w:rFonts w:hint="eastAsia" w:ascii="仿宋_GB2312" w:cs="宋体" w:hAnsiTheme="minorEastAsia"/>
          <w:kern w:val="0"/>
          <w:sz w:val="32"/>
          <w:szCs w:val="32"/>
        </w:rPr>
        <w:t>预算法》和《中共中央 国务院关于全面实施预算绩效管理的意见》</w:t>
      </w:r>
      <w:r>
        <w:rPr>
          <w:rFonts w:hint="eastAsia" w:ascii="仿宋_GB2312" w:hAnsi="Calibri" w:cs="仿宋_GB2312"/>
          <w:sz w:val="32"/>
          <w:szCs w:val="32"/>
        </w:rPr>
        <w:t>（中</w:t>
      </w:r>
      <w:r>
        <w:rPr>
          <w:rFonts w:hint="eastAsia" w:ascii="仿宋_GB2312" w:hAnsi="仿宋"/>
          <w:sz w:val="32"/>
          <w:szCs w:val="32"/>
        </w:rPr>
        <w:t>发〔2018〕34号）、《中共贵州省委 贵州省人民政府关于全面实施预算绩效管理的实施意见》（黔党发〔</w:t>
      </w:r>
      <w:r>
        <w:rPr>
          <w:rFonts w:ascii="仿宋_GB2312" w:hAnsi="仿宋"/>
          <w:sz w:val="32"/>
          <w:szCs w:val="32"/>
        </w:rPr>
        <w:t>2019〕29号）</w:t>
      </w:r>
      <w:r>
        <w:rPr>
          <w:rFonts w:hint="eastAsia" w:ascii="仿宋_GB2312" w:hAnsi="仿宋"/>
          <w:sz w:val="32"/>
          <w:szCs w:val="32"/>
        </w:rPr>
        <w:t>的精神，根据《省财政厅关于省直部门开展2019年度项目支出绩效自评的通知》（黔财绩〔2019〕23号）等文件相关要求，贵州省工业和信息化厅（以下简称“省工信厅”）委托中鼎资信评级服务有限公司（以下简称“中鼎资信”）成立</w:t>
      </w:r>
      <w:r>
        <w:rPr>
          <w:rFonts w:hint="eastAsia" w:ascii="仿宋_GB2312"/>
          <w:spacing w:val="6"/>
          <w:sz w:val="32"/>
          <w:szCs w:val="32"/>
        </w:rPr>
        <w:t>绩效评价工作组，于2020年4月至5月</w:t>
      </w:r>
      <w:r>
        <w:rPr>
          <w:rFonts w:hint="eastAsia" w:ascii="仿宋_GB2312" w:hAnsi="仿宋"/>
          <w:sz w:val="32"/>
          <w:szCs w:val="32"/>
        </w:rPr>
        <w:t>，对贵州省2019年度工业和信息化发展专项资金（以下简称“工信发展专项资金”或“专项资金”）开展了绩效评价。</w:t>
      </w:r>
      <w:r>
        <w:rPr>
          <w:rFonts w:hint="eastAsia" w:ascii="仿宋_GB2312"/>
          <w:spacing w:val="6"/>
          <w:sz w:val="32"/>
          <w:szCs w:val="32"/>
        </w:rPr>
        <w:t>现将评价情况报告如下：</w:t>
      </w:r>
      <w:bookmarkEnd w:id="118"/>
      <w:bookmarkEnd w:id="119"/>
      <w:bookmarkEnd w:id="120"/>
      <w:bookmarkEnd w:id="121"/>
    </w:p>
    <w:p>
      <w:pPr>
        <w:pStyle w:val="2"/>
        <w:spacing w:before="0" w:beforeAutospacing="0" w:after="0" w:afterAutospacing="0"/>
        <w:rPr>
          <w:b w:val="0"/>
          <w:spacing w:val="6"/>
        </w:rPr>
      </w:pPr>
      <w:bookmarkStart w:id="122" w:name="_Toc40873766"/>
      <w:bookmarkStart w:id="123" w:name="_Toc41420788"/>
      <w:bookmarkStart w:id="124" w:name="_Toc41419918"/>
      <w:r>
        <w:rPr>
          <w:rFonts w:hint="eastAsia"/>
          <w:b w:val="0"/>
          <w:spacing w:val="6"/>
        </w:rPr>
        <w:t>一、绩效评价目的</w:t>
      </w:r>
      <w:bookmarkEnd w:id="122"/>
      <w:bookmarkEnd w:id="123"/>
      <w:bookmarkEnd w:id="124"/>
    </w:p>
    <w:p>
      <w:pPr>
        <w:spacing w:line="560" w:lineRule="exact"/>
        <w:ind w:firstLine="640" w:firstLineChars="200"/>
        <w:rPr>
          <w:rFonts w:ascii="仿宋_GB2312" w:hAnsi="仿宋"/>
          <w:sz w:val="32"/>
          <w:szCs w:val="32"/>
        </w:rPr>
      </w:pPr>
      <w:bookmarkStart w:id="125" w:name="_Toc17972147"/>
      <w:bookmarkStart w:id="126" w:name="_Toc17971919"/>
      <w:bookmarkStart w:id="127" w:name="_Toc17972202"/>
      <w:r>
        <w:rPr>
          <w:rFonts w:hint="eastAsia" w:ascii="仿宋_GB2312" w:hAnsi="仿宋"/>
          <w:sz w:val="32"/>
          <w:szCs w:val="32"/>
        </w:rPr>
        <w:t>本次对2019年度省工信发展专项资金进行绩效评价，旨在以决策、过程、产出和效果为评价主要内容，全面掌握2019年度专项资金安排、管理及执行情况，了解绩效目标的实现程度及取得的成效等。通过总结经验，找准问题，提出改进的意见和建议，促进部门进一步完善制度、创新机制、加强管理、强化监督，提高项目、资金管理使用的规范性、安全性和有效性，确保财政资源配置效率和使用效益，并为今后预算管理提供决策依据。</w:t>
      </w:r>
    </w:p>
    <w:bookmarkEnd w:id="125"/>
    <w:bookmarkEnd w:id="126"/>
    <w:bookmarkEnd w:id="127"/>
    <w:p>
      <w:pPr>
        <w:pStyle w:val="2"/>
        <w:spacing w:before="0" w:beforeAutospacing="0" w:after="0" w:afterAutospacing="0"/>
        <w:rPr>
          <w:b w:val="0"/>
          <w:spacing w:val="6"/>
        </w:rPr>
      </w:pPr>
      <w:bookmarkStart w:id="128" w:name="_Toc41420789"/>
      <w:bookmarkStart w:id="129" w:name="_Toc41419919"/>
      <w:bookmarkStart w:id="130" w:name="_Toc40873767"/>
      <w:r>
        <w:rPr>
          <w:rFonts w:hint="eastAsia"/>
          <w:b w:val="0"/>
          <w:spacing w:val="6"/>
        </w:rPr>
        <w:t>二、基本情况</w:t>
      </w:r>
      <w:bookmarkEnd w:id="128"/>
      <w:bookmarkEnd w:id="129"/>
      <w:bookmarkEnd w:id="130"/>
    </w:p>
    <w:p>
      <w:pPr>
        <w:pStyle w:val="16"/>
        <w:ind w:firstLine="664"/>
        <w:rPr>
          <w:b w:val="0"/>
          <w:spacing w:val="6"/>
        </w:rPr>
      </w:pPr>
      <w:bookmarkStart w:id="131" w:name="_Toc41420790"/>
      <w:bookmarkStart w:id="132" w:name="_Toc40873768"/>
      <w:bookmarkStart w:id="133" w:name="_Toc41419920"/>
      <w:r>
        <w:rPr>
          <w:rFonts w:hint="eastAsia"/>
          <w:b w:val="0"/>
          <w:spacing w:val="6"/>
        </w:rPr>
        <w:t>（一）项目概况</w:t>
      </w:r>
      <w:bookmarkEnd w:id="131"/>
      <w:bookmarkEnd w:id="132"/>
      <w:bookmarkEnd w:id="133"/>
    </w:p>
    <w:p>
      <w:pPr>
        <w:pStyle w:val="20"/>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1.设立背景</w:t>
      </w:r>
    </w:p>
    <w:p>
      <w:pPr>
        <w:pStyle w:val="20"/>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2010年，为深入贯彻落实科学发展观，加快全省新型工业化进程，省委、省政府召开了贵州省第一次工业强省大会，会议决定为推动工业经济又好又快、更好更快发展，要充分发挥政府投资的引导作用，加大省级财政对工业发展的支持力度，从2011年起，设立工业和信息化发展专项资金。</w:t>
      </w:r>
    </w:p>
    <w:p>
      <w:pPr>
        <w:pStyle w:val="20"/>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2.设立目的</w:t>
      </w:r>
    </w:p>
    <w:p>
      <w:pPr>
        <w:pStyle w:val="20"/>
        <w:adjustRightInd w:val="0"/>
        <w:snapToGrid w:val="0"/>
        <w:spacing w:before="0" w:beforeAutospacing="0" w:after="0" w:afterAutospacing="0" w:line="560" w:lineRule="exact"/>
        <w:ind w:firstLine="640" w:firstLineChars="200"/>
        <w:jc w:val="both"/>
        <w:rPr>
          <w:rFonts w:ascii="仿宋_GB2312"/>
          <w:sz w:val="32"/>
          <w:szCs w:val="32"/>
        </w:rPr>
      </w:pPr>
      <w:r>
        <w:rPr>
          <w:rFonts w:hint="eastAsia" w:ascii="仿宋_GB2312" w:eastAsia="仿宋_GB2312"/>
          <w:sz w:val="32"/>
          <w:szCs w:val="32"/>
        </w:rPr>
        <w:t>实施工业强省战略，是贵州省加速发展、加快转型、推动跨越的必然选择</w:t>
      </w:r>
      <w:r>
        <w:rPr>
          <w:rFonts w:hint="eastAsia" w:ascii="仿宋_GB2312"/>
          <w:sz w:val="32"/>
          <w:szCs w:val="32"/>
        </w:rPr>
        <w:t>。</w:t>
      </w:r>
      <w:r>
        <w:rPr>
          <w:rFonts w:hint="eastAsia" w:ascii="仿宋_GB2312" w:eastAsia="仿宋_GB2312"/>
          <w:sz w:val="32"/>
          <w:szCs w:val="32"/>
        </w:rPr>
        <w:t>省工信发展专项资金的设立，通过择优扶强、重点支持、注重效益和引导放大作用的发挥，可为贵州省工业强省战略目标的实现，提供有力的资金保障。</w:t>
      </w:r>
    </w:p>
    <w:p>
      <w:pPr>
        <w:spacing w:line="560" w:lineRule="exact"/>
        <w:ind w:firstLine="645"/>
        <w:rPr>
          <w:rFonts w:ascii="仿宋_GB2312"/>
          <w:sz w:val="32"/>
          <w:szCs w:val="32"/>
        </w:rPr>
      </w:pPr>
      <w:r>
        <w:rPr>
          <w:rFonts w:hint="eastAsia" w:ascii="仿宋_GB2312"/>
          <w:sz w:val="32"/>
          <w:szCs w:val="32"/>
        </w:rPr>
        <w:t>3.设立依据</w:t>
      </w:r>
    </w:p>
    <w:p>
      <w:pPr>
        <w:spacing w:line="560" w:lineRule="exact"/>
        <w:ind w:firstLine="645"/>
        <w:rPr>
          <w:rFonts w:ascii="仿宋_GB2312"/>
          <w:sz w:val="32"/>
          <w:szCs w:val="32"/>
        </w:rPr>
      </w:pPr>
      <w:r>
        <w:rPr>
          <w:rFonts w:hint="eastAsia" w:ascii="仿宋_GB2312"/>
          <w:sz w:val="32"/>
          <w:szCs w:val="32"/>
        </w:rPr>
        <w:t>2010年11月，《中共贵州省委贵州省人民政府〈关于实施工业强省战略的决定〉》(黔党发</w:t>
      </w:r>
      <w:r>
        <w:rPr>
          <w:rFonts w:hint="eastAsia"/>
          <w:sz w:val="32"/>
          <w:szCs w:val="32"/>
        </w:rPr>
        <w:t>〔</w:t>
      </w:r>
      <w:r>
        <w:rPr>
          <w:rFonts w:hint="eastAsia" w:ascii="仿宋_GB2312"/>
          <w:sz w:val="32"/>
          <w:szCs w:val="32"/>
        </w:rPr>
        <w:t>2010</w:t>
      </w:r>
      <w:r>
        <w:rPr>
          <w:rFonts w:hint="eastAsia"/>
          <w:sz w:val="32"/>
          <w:szCs w:val="32"/>
        </w:rPr>
        <w:t>〕</w:t>
      </w:r>
      <w:r>
        <w:rPr>
          <w:rFonts w:hint="eastAsia" w:ascii="仿宋_GB2312"/>
          <w:sz w:val="32"/>
          <w:szCs w:val="32"/>
        </w:rPr>
        <w:t>12号)明确，“加大省级财政对工业发展的支持力度，在整合技术改造、技术创新、中小企业发展、节能、信息化推进等专项资金的基础上，从2011年起，设立10亿元省级工业和信息化发展专项资金”。</w:t>
      </w:r>
    </w:p>
    <w:p>
      <w:pPr>
        <w:spacing w:line="560" w:lineRule="exact"/>
        <w:ind w:firstLine="645"/>
        <w:rPr>
          <w:rFonts w:ascii="仿宋_GB2312"/>
          <w:sz w:val="32"/>
          <w:szCs w:val="32"/>
        </w:rPr>
      </w:pPr>
      <w:r>
        <w:rPr>
          <w:rFonts w:hint="eastAsia" w:ascii="仿宋_GB2312"/>
          <w:sz w:val="32"/>
          <w:szCs w:val="32"/>
        </w:rPr>
        <w:t>为深入实施工业强省战略、加快推进工业转型升级，2013年10月，《中共贵州省委贵州省人民政府〈关于深入实施工业强省战略加快推进工业转型升级的意见〉》（黔党发〔2013〕20号）要求，“自2014年起，工业和信息化专项在每年10亿元规范的基础上，每年增加1.5亿元，以进一步提升贵州省工业和信息化发展规模”。</w:t>
      </w:r>
    </w:p>
    <w:p>
      <w:pPr>
        <w:spacing w:line="560" w:lineRule="exact"/>
        <w:ind w:firstLine="645"/>
        <w:rPr>
          <w:rFonts w:ascii="华文仿宋" w:hAnsi="华文仿宋" w:eastAsia="华文仿宋"/>
          <w:sz w:val="32"/>
          <w:szCs w:val="32"/>
        </w:rPr>
      </w:pPr>
      <w:r>
        <w:rPr>
          <w:rFonts w:hint="eastAsia" w:ascii="仿宋_GB2312" w:hAnsi="仿宋_GB2312" w:cs="仿宋_GB2312"/>
          <w:sz w:val="32"/>
          <w:szCs w:val="32"/>
        </w:rPr>
        <w:t>2017年9月17日，贵州省委组织召开成立贵州省若干企业集团专题会议，力求通过组建大企业集团的方式，形成龙头引领、链条延伸、集群共进的局面。为培育工业领域龙头企业，尽快形成产业带动</w:t>
      </w:r>
      <w:bookmarkStart w:id="228" w:name="_GoBack"/>
      <w:bookmarkEnd w:id="228"/>
      <w:r>
        <w:rPr>
          <w:rFonts w:hint="eastAsia" w:ascii="仿宋_GB2312" w:hAnsi="仿宋_GB2312" w:cs="仿宋_GB2312"/>
          <w:sz w:val="32"/>
          <w:szCs w:val="32"/>
        </w:rPr>
        <w:t>。</w:t>
      </w:r>
    </w:p>
    <w:p>
      <w:pPr>
        <w:pStyle w:val="16"/>
        <w:ind w:firstLine="664"/>
        <w:rPr>
          <w:b w:val="0"/>
          <w:spacing w:val="6"/>
        </w:rPr>
      </w:pPr>
      <w:bookmarkStart w:id="134" w:name="_Toc41419921"/>
      <w:bookmarkStart w:id="135" w:name="_Toc40873769"/>
      <w:bookmarkStart w:id="136" w:name="_Toc41420791"/>
      <w:r>
        <w:rPr>
          <w:rFonts w:hint="eastAsia"/>
          <w:b w:val="0"/>
          <w:spacing w:val="6"/>
        </w:rPr>
        <w:t>（二）项目绩效目标设立情况</w:t>
      </w:r>
      <w:bookmarkEnd w:id="134"/>
      <w:bookmarkEnd w:id="135"/>
      <w:bookmarkEnd w:id="136"/>
    </w:p>
    <w:p>
      <w:pPr>
        <w:spacing w:line="560" w:lineRule="exact"/>
        <w:ind w:firstLine="664" w:firstLineChars="200"/>
        <w:rPr>
          <w:rFonts w:ascii="仿宋_GB2312"/>
          <w:spacing w:val="6"/>
          <w:sz w:val="32"/>
          <w:szCs w:val="32"/>
        </w:rPr>
      </w:pPr>
      <w:r>
        <w:rPr>
          <w:rFonts w:hint="eastAsia" w:ascii="仿宋_GB2312"/>
          <w:spacing w:val="6"/>
          <w:sz w:val="32"/>
          <w:szCs w:val="32"/>
        </w:rPr>
        <w:t>1.项目绩效目标及绩效指标</w:t>
      </w:r>
    </w:p>
    <w:p>
      <w:pPr>
        <w:spacing w:line="560" w:lineRule="exact"/>
        <w:ind w:firstLine="664" w:firstLineChars="200"/>
        <w:rPr>
          <w:rFonts w:ascii="仿宋_GB2312"/>
          <w:spacing w:val="6"/>
          <w:sz w:val="32"/>
          <w:szCs w:val="32"/>
        </w:rPr>
      </w:pPr>
      <w:r>
        <w:rPr>
          <w:rFonts w:hint="eastAsia" w:ascii="仿宋_GB2312"/>
          <w:spacing w:val="6"/>
          <w:sz w:val="32"/>
          <w:szCs w:val="32"/>
        </w:rPr>
        <w:t>（1）省工信发展专项年度绩效目标</w:t>
      </w:r>
    </w:p>
    <w:p>
      <w:pPr>
        <w:spacing w:line="560" w:lineRule="exact"/>
        <w:ind w:firstLine="664" w:firstLineChars="200"/>
        <w:rPr>
          <w:rFonts w:ascii="仿宋_GB2312"/>
          <w:spacing w:val="6"/>
          <w:sz w:val="32"/>
          <w:szCs w:val="32"/>
        </w:rPr>
      </w:pPr>
      <w:r>
        <w:rPr>
          <w:rFonts w:hint="eastAsia" w:ascii="仿宋_GB2312"/>
          <w:spacing w:val="6"/>
          <w:sz w:val="32"/>
          <w:szCs w:val="32"/>
        </w:rPr>
        <w:t>根据省工信厅提供的《2019年工业和信息化发展专项资金绩效自评表》，其省本级</w:t>
      </w:r>
      <w:r>
        <w:rPr>
          <w:rFonts w:hint="eastAsia" w:ascii="仿宋_GB2312"/>
          <w:sz w:val="32"/>
          <w:szCs w:val="32"/>
        </w:rPr>
        <w:t>和省对下设立的</w:t>
      </w:r>
      <w:r>
        <w:rPr>
          <w:rFonts w:hint="eastAsia" w:ascii="仿宋_GB2312"/>
          <w:spacing w:val="6"/>
          <w:sz w:val="32"/>
          <w:szCs w:val="32"/>
        </w:rPr>
        <w:t>绩效目标为：</w:t>
      </w:r>
      <w:r>
        <w:rPr>
          <w:rFonts w:hint="eastAsia" w:ascii="仿宋_GB2312"/>
          <w:b/>
          <w:spacing w:val="6"/>
          <w:sz w:val="32"/>
          <w:szCs w:val="32"/>
        </w:rPr>
        <w:t>一是</w:t>
      </w:r>
      <w:r>
        <w:rPr>
          <w:rFonts w:hint="eastAsia" w:ascii="仿宋_GB2312"/>
          <w:spacing w:val="6"/>
          <w:sz w:val="32"/>
          <w:szCs w:val="32"/>
        </w:rPr>
        <w:t>完成省委、省政府重点工作任务。</w:t>
      </w:r>
      <w:r>
        <w:rPr>
          <w:rFonts w:hint="eastAsia" w:ascii="仿宋_GB2312"/>
          <w:b/>
          <w:spacing w:val="6"/>
          <w:sz w:val="32"/>
          <w:szCs w:val="32"/>
        </w:rPr>
        <w:t>二是</w:t>
      </w:r>
      <w:r>
        <w:rPr>
          <w:rFonts w:hint="eastAsia" w:ascii="仿宋_GB2312"/>
          <w:spacing w:val="6"/>
          <w:sz w:val="32"/>
          <w:szCs w:val="32"/>
        </w:rPr>
        <w:t>及时下达专项资金计划，带动社会资本，支持工业经济发展，充分发挥专项资金效益。</w:t>
      </w:r>
    </w:p>
    <w:p>
      <w:pPr>
        <w:spacing w:line="560" w:lineRule="exact"/>
        <w:ind w:firstLine="664" w:firstLineChars="200"/>
        <w:rPr>
          <w:rFonts w:ascii="仿宋_GB2312"/>
          <w:sz w:val="32"/>
          <w:szCs w:val="32"/>
        </w:rPr>
      </w:pPr>
      <w:r>
        <w:rPr>
          <w:rFonts w:hint="eastAsia" w:ascii="仿宋_GB2312"/>
          <w:spacing w:val="6"/>
          <w:sz w:val="32"/>
          <w:szCs w:val="32"/>
        </w:rPr>
        <w:t>绩效评价工作组</w:t>
      </w:r>
      <w:r>
        <w:rPr>
          <w:rFonts w:hint="eastAsia" w:ascii="仿宋_GB2312"/>
          <w:sz w:val="32"/>
          <w:szCs w:val="32"/>
        </w:rPr>
        <w:t>根据省工信厅提供的《省人民政府关于贵州省“十三五”工业发展规划的批复》（黔府函〔2017〕271号）、《省人民政府关于深入推进“千企改造”工程的实施意见》（黔府发〔2018〕28号）</w:t>
      </w:r>
      <w:r>
        <w:rPr>
          <w:rFonts w:hint="eastAsia" w:ascii="仿宋_GB2312" w:hAnsi="仿宋"/>
          <w:sz w:val="32"/>
          <w:szCs w:val="32"/>
        </w:rPr>
        <w:t>、《省人民政府关于推进工业园区健康发展的指导意见》（黔府发〔2018〕30号）、《省人民政府办公厅关于印发贵州省市场主体培育“四转”工程实</w:t>
      </w:r>
      <w:r>
        <w:rPr>
          <w:rFonts w:hint="eastAsia" w:ascii="仿宋_GB2312" w:hAnsi="宋体" w:cs="宋体"/>
          <w:kern w:val="0"/>
          <w:sz w:val="32"/>
          <w:szCs w:val="32"/>
        </w:rPr>
        <w:t>施方案的通知》（黔府办函〔2018〕115号）</w:t>
      </w:r>
      <w:r>
        <w:rPr>
          <w:rFonts w:hint="eastAsia" w:ascii="仿宋_GB2312"/>
          <w:sz w:val="32"/>
          <w:szCs w:val="32"/>
        </w:rPr>
        <w:t>等有关省工业和信息化发展的政策制度资料，梳理专项资金年度绩效目标见表2-1：</w:t>
      </w:r>
    </w:p>
    <w:p>
      <w:pPr>
        <w:spacing w:line="560" w:lineRule="exact"/>
        <w:contextualSpacing/>
        <w:jc w:val="center"/>
        <w:rPr>
          <w:rFonts w:ascii="仿宋_GB2312"/>
          <w:b/>
          <w:sz w:val="32"/>
          <w:szCs w:val="32"/>
        </w:rPr>
      </w:pPr>
      <w:r>
        <w:rPr>
          <w:rFonts w:hint="eastAsia" w:ascii="仿宋_GB2312"/>
          <w:b/>
          <w:sz w:val="32"/>
          <w:szCs w:val="32"/>
        </w:rPr>
        <w:t>表2-1 2019年度省工信发展专项资金绩效目标表</w:t>
      </w:r>
    </w:p>
    <w:tbl>
      <w:tblPr>
        <w:tblStyle w:val="21"/>
        <w:tblW w:w="8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3"/>
        <w:gridCol w:w="8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Align w:val="center"/>
          </w:tcPr>
          <w:p>
            <w:pPr>
              <w:jc w:val="center"/>
              <w:rPr>
                <w:rFonts w:ascii="黑体" w:hAnsi="黑体" w:eastAsia="黑体"/>
                <w:sz w:val="24"/>
              </w:rPr>
            </w:pPr>
            <w:r>
              <w:rPr>
                <w:rFonts w:hint="eastAsia" w:ascii="黑体" w:hAnsi="黑体" w:eastAsia="黑体"/>
                <w:sz w:val="24"/>
              </w:rPr>
              <w:t>序号</w:t>
            </w:r>
          </w:p>
        </w:tc>
        <w:tc>
          <w:tcPr>
            <w:tcW w:w="8106" w:type="dxa"/>
            <w:vAlign w:val="center"/>
          </w:tcPr>
          <w:p>
            <w:pPr>
              <w:jc w:val="center"/>
              <w:rPr>
                <w:rFonts w:ascii="黑体" w:hAnsi="黑体" w:eastAsia="黑体"/>
                <w:sz w:val="24"/>
              </w:rPr>
            </w:pPr>
            <w:r>
              <w:rPr>
                <w:rFonts w:hint="eastAsia" w:ascii="黑体" w:hAnsi="黑体" w:eastAsia="黑体"/>
                <w:sz w:val="24"/>
              </w:rPr>
              <w:t>绩效目标设定情况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1</w:t>
            </w:r>
          </w:p>
        </w:tc>
        <w:tc>
          <w:tcPr>
            <w:tcW w:w="8106" w:type="dxa"/>
            <w:vAlign w:val="center"/>
          </w:tcPr>
          <w:p>
            <w:pPr>
              <w:jc w:val="left"/>
              <w:rPr>
                <w:rFonts w:ascii="仿宋_GB2312" w:hAnsiTheme="minorEastAsia"/>
                <w:sz w:val="24"/>
              </w:rPr>
            </w:pPr>
            <w:r>
              <w:rPr>
                <w:rFonts w:hint="eastAsia" w:ascii="仿宋_GB2312" w:hAnsiTheme="minorEastAsia"/>
                <w:sz w:val="24"/>
              </w:rPr>
              <w:t>规模以上工业增加值增速达到9%左右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2</w:t>
            </w:r>
          </w:p>
        </w:tc>
        <w:tc>
          <w:tcPr>
            <w:tcW w:w="8106" w:type="dxa"/>
          </w:tcPr>
          <w:p>
            <w:pPr>
              <w:jc w:val="left"/>
              <w:rPr>
                <w:rFonts w:ascii="仿宋_GB2312" w:hAnsiTheme="minorEastAsia"/>
                <w:sz w:val="24"/>
              </w:rPr>
            </w:pPr>
            <w:r>
              <w:rPr>
                <w:rFonts w:ascii="仿宋_GB2312" w:hAnsiTheme="minorEastAsia"/>
                <w:sz w:val="24"/>
              </w:rPr>
              <w:t>规模以上工业增加值增速排名全国前5位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3</w:t>
            </w:r>
          </w:p>
        </w:tc>
        <w:tc>
          <w:tcPr>
            <w:tcW w:w="8106" w:type="dxa"/>
          </w:tcPr>
          <w:p>
            <w:pPr>
              <w:jc w:val="left"/>
              <w:rPr>
                <w:rFonts w:ascii="仿宋_GB2312" w:hAnsiTheme="minorEastAsia"/>
                <w:sz w:val="24"/>
              </w:rPr>
            </w:pPr>
            <w:r>
              <w:rPr>
                <w:rFonts w:hint="eastAsia" w:ascii="仿宋_GB2312" w:hAnsiTheme="minorEastAsia"/>
                <w:sz w:val="24"/>
              </w:rPr>
              <w:t>十大千亿工业产业占全省规模以上工业总产值比重达到80%及以上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4</w:t>
            </w:r>
          </w:p>
        </w:tc>
        <w:tc>
          <w:tcPr>
            <w:tcW w:w="8106" w:type="dxa"/>
          </w:tcPr>
          <w:p>
            <w:pPr>
              <w:jc w:val="left"/>
              <w:rPr>
                <w:rFonts w:ascii="仿宋_GB2312" w:hAnsiTheme="minorEastAsia"/>
                <w:sz w:val="24"/>
              </w:rPr>
            </w:pPr>
            <w:r>
              <w:rPr>
                <w:rFonts w:hint="eastAsia" w:ascii="仿宋_GB2312" w:hAnsiTheme="minorEastAsia"/>
                <w:sz w:val="24"/>
              </w:rPr>
              <w:t>扶持60个以上产业园区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5</w:t>
            </w:r>
          </w:p>
        </w:tc>
        <w:tc>
          <w:tcPr>
            <w:tcW w:w="8106" w:type="dxa"/>
          </w:tcPr>
          <w:p>
            <w:pPr>
              <w:jc w:val="left"/>
              <w:rPr>
                <w:rFonts w:ascii="仿宋_GB2312" w:hAnsiTheme="minorEastAsia"/>
                <w:sz w:val="24"/>
              </w:rPr>
            </w:pPr>
            <w:r>
              <w:rPr>
                <w:rFonts w:ascii="仿宋_GB2312" w:hAnsiTheme="minorEastAsia"/>
                <w:sz w:val="24"/>
              </w:rPr>
              <w:t>全年完成中小企业培训1万人次以上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3" w:type="dxa"/>
            <w:vAlign w:val="center"/>
          </w:tcPr>
          <w:p>
            <w:pPr>
              <w:jc w:val="center"/>
              <w:rPr>
                <w:rFonts w:ascii="仿宋_GB2312" w:hAnsiTheme="minorEastAsia"/>
                <w:sz w:val="24"/>
              </w:rPr>
            </w:pPr>
            <w:r>
              <w:rPr>
                <w:rFonts w:hint="eastAsia" w:ascii="仿宋_GB2312" w:hAnsiTheme="minorEastAsia"/>
                <w:sz w:val="24"/>
              </w:rPr>
              <w:t>6</w:t>
            </w:r>
          </w:p>
        </w:tc>
        <w:tc>
          <w:tcPr>
            <w:tcW w:w="8106" w:type="dxa"/>
          </w:tcPr>
          <w:p>
            <w:pPr>
              <w:jc w:val="left"/>
              <w:rPr>
                <w:rFonts w:ascii="仿宋_GB2312" w:hAnsiTheme="minorEastAsia"/>
                <w:sz w:val="24"/>
              </w:rPr>
            </w:pPr>
            <w:r>
              <w:rPr>
                <w:rFonts w:ascii="仿宋_GB2312" w:hAnsiTheme="minorEastAsia"/>
                <w:sz w:val="24"/>
              </w:rPr>
              <w:t>民营经济增加值同比增长9%</w:t>
            </w:r>
            <w:r>
              <w:rPr>
                <w:rFonts w:hint="eastAsia" w:ascii="仿宋_GB2312" w:hAnsiTheme="minorEastAsia"/>
                <w:sz w:val="24"/>
              </w:rPr>
              <w:t>左右</w:t>
            </w:r>
          </w:p>
        </w:tc>
      </w:tr>
    </w:tbl>
    <w:p>
      <w:pPr>
        <w:spacing w:line="560" w:lineRule="exact"/>
        <w:ind w:firstLine="664" w:firstLineChars="200"/>
        <w:rPr>
          <w:rFonts w:ascii="仿宋_GB2312"/>
          <w:spacing w:val="6"/>
          <w:sz w:val="32"/>
          <w:szCs w:val="32"/>
        </w:rPr>
      </w:pPr>
      <w:r>
        <w:rPr>
          <w:rFonts w:hint="eastAsia" w:ascii="仿宋_GB2312"/>
          <w:spacing w:val="6"/>
          <w:sz w:val="32"/>
          <w:szCs w:val="32"/>
        </w:rPr>
        <w:t>（2）省工信发展专项年度绩效指标</w:t>
      </w:r>
    </w:p>
    <w:p>
      <w:pPr>
        <w:spacing w:line="560" w:lineRule="exact"/>
        <w:ind w:firstLine="664" w:firstLineChars="200"/>
        <w:rPr>
          <w:rFonts w:ascii="仿宋_GB2312"/>
          <w:sz w:val="32"/>
          <w:szCs w:val="32"/>
        </w:rPr>
      </w:pPr>
      <w:r>
        <w:rPr>
          <w:rFonts w:hint="eastAsia" w:ascii="仿宋_GB2312"/>
          <w:spacing w:val="6"/>
          <w:sz w:val="32"/>
          <w:szCs w:val="32"/>
        </w:rPr>
        <w:t>《2019年度工业和信息化发展专项资金绩效自评表》分别设立有</w:t>
      </w:r>
      <w:r>
        <w:rPr>
          <w:rFonts w:hint="eastAsia" w:ascii="仿宋_GB2312"/>
          <w:sz w:val="32"/>
          <w:szCs w:val="32"/>
        </w:rPr>
        <w:t>省本级和省对下绩效指标，合并整理为产出指标6个、效益指标3个、满意度指标1个。绩效指标见表2-2：</w:t>
      </w:r>
    </w:p>
    <w:p>
      <w:pPr>
        <w:spacing w:line="560" w:lineRule="exact"/>
        <w:contextualSpacing/>
        <w:jc w:val="center"/>
        <w:rPr>
          <w:rFonts w:ascii="仿宋_GB2312"/>
          <w:b/>
          <w:sz w:val="32"/>
          <w:szCs w:val="32"/>
        </w:rPr>
      </w:pPr>
      <w:r>
        <w:rPr>
          <w:rFonts w:hint="eastAsia" w:ascii="仿宋_GB2312"/>
          <w:b/>
          <w:sz w:val="32"/>
          <w:szCs w:val="32"/>
        </w:rPr>
        <w:t>表2-2　2019年度省工信发展专项资金绩效指标表</w:t>
      </w:r>
    </w:p>
    <w:tbl>
      <w:tblPr>
        <w:tblStyle w:val="21"/>
        <w:tblW w:w="85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985"/>
        <w:gridCol w:w="3084"/>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91"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985"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3084"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三级指标</w:t>
            </w:r>
          </w:p>
        </w:tc>
        <w:tc>
          <w:tcPr>
            <w:tcW w:w="2180"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91" w:type="dxa"/>
            <w:vMerge w:val="restart"/>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产出指标</w:t>
            </w: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省本级数量指标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支持重点项目</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省对下数量指标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支持重点项目</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质量指标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工作检查</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时效指标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资金下达时间</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及时下达资金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1" w:type="dxa"/>
            <w:vMerge w:val="continue"/>
            <w:vAlign w:val="center"/>
          </w:tcPr>
          <w:p>
            <w:pPr>
              <w:widowControl/>
              <w:jc w:val="left"/>
              <w:rPr>
                <w:rFonts w:ascii="仿宋_GB2312" w:cs="宋体" w:hAnsiTheme="minorEastAsia"/>
                <w:kern w:val="0"/>
                <w:sz w:val="24"/>
              </w:rPr>
            </w:pPr>
          </w:p>
        </w:tc>
        <w:tc>
          <w:tcPr>
            <w:tcW w:w="198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省本级成本指标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完成年度资金下达工作</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8640万元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1" w:type="dxa"/>
            <w:vMerge w:val="continue"/>
            <w:vAlign w:val="center"/>
          </w:tcPr>
          <w:p>
            <w:pPr>
              <w:widowControl/>
              <w:jc w:val="left"/>
              <w:rPr>
                <w:rFonts w:ascii="仿宋_GB2312" w:cs="宋体" w:hAnsiTheme="minorEastAsia"/>
                <w:kern w:val="0"/>
                <w:sz w:val="24"/>
              </w:rPr>
            </w:pPr>
          </w:p>
        </w:tc>
        <w:tc>
          <w:tcPr>
            <w:tcW w:w="198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省对下成本指标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完成年度资金下达工作</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11530万元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91" w:type="dxa"/>
            <w:vMerge w:val="restart"/>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效益指标</w:t>
            </w: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经济效益指标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获支持项目建设完成后实现总投资</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≥安排的专项资金金额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社会效益指标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改善民营经济及中小企业发展环境</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提升中小微企业发展能力和配套服务能力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1" w:type="dxa"/>
            <w:vMerge w:val="continue"/>
            <w:vAlign w:val="center"/>
          </w:tcPr>
          <w:p>
            <w:pPr>
              <w:widowControl/>
              <w:jc w:val="left"/>
              <w:rPr>
                <w:rFonts w:ascii="仿宋_GB2312" w:cs="宋体" w:hAnsiTheme="minorEastAsia"/>
                <w:kern w:val="0"/>
                <w:sz w:val="24"/>
              </w:rPr>
            </w:pP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生态效益指标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提高能源利用效率</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支持企业节能技术改造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91"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满意度指标</w:t>
            </w:r>
          </w:p>
        </w:tc>
        <w:tc>
          <w:tcPr>
            <w:tcW w:w="1985"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服务对象满意度指标</w:t>
            </w:r>
          </w:p>
        </w:tc>
        <w:tc>
          <w:tcPr>
            <w:tcW w:w="3084"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资金支持对象满意度</w:t>
            </w:r>
          </w:p>
        </w:tc>
        <w:tc>
          <w:tcPr>
            <w:tcW w:w="2180"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≥90%</w:t>
            </w:r>
          </w:p>
        </w:tc>
      </w:tr>
    </w:tbl>
    <w:p>
      <w:pPr>
        <w:pStyle w:val="16"/>
        <w:ind w:firstLine="664"/>
        <w:rPr>
          <w:b w:val="0"/>
          <w:spacing w:val="6"/>
        </w:rPr>
      </w:pPr>
      <w:bookmarkStart w:id="137" w:name="_Toc41420792"/>
      <w:bookmarkStart w:id="138" w:name="_Toc40873770"/>
      <w:bookmarkStart w:id="139" w:name="_Toc41419922"/>
      <w:r>
        <w:rPr>
          <w:rFonts w:hint="eastAsia"/>
          <w:b w:val="0"/>
          <w:spacing w:val="6"/>
        </w:rPr>
        <w:t>（三）项目资金安排及拨付情况</w:t>
      </w:r>
      <w:bookmarkEnd w:id="137"/>
      <w:bookmarkEnd w:id="138"/>
      <w:bookmarkEnd w:id="139"/>
    </w:p>
    <w:p>
      <w:pPr>
        <w:widowControl/>
        <w:spacing w:line="560" w:lineRule="exact"/>
        <w:ind w:firstLine="640" w:firstLineChars="200"/>
        <w:rPr>
          <w:rFonts w:ascii="仿宋_GB2312"/>
          <w:spacing w:val="6"/>
          <w:sz w:val="32"/>
          <w:szCs w:val="32"/>
        </w:rPr>
      </w:pPr>
      <w:r>
        <w:rPr>
          <w:rFonts w:hint="eastAsia" w:ascii="仿宋_GB2312" w:hAnsi="仿宋_GB2312" w:cs="仿宋_GB2312"/>
          <w:sz w:val="32"/>
          <w:szCs w:val="32"/>
        </w:rPr>
        <w:t>省工信厅申报2019年度省工信发展专项资金预算为21.4亿元，但省财政厅最终直接下达省工信发展专项资金总体预算规模为12.391</w:t>
      </w:r>
      <w:r>
        <w:rPr>
          <w:rFonts w:hint="eastAsia" w:ascii="仿宋_GB2312"/>
          <w:spacing w:val="6"/>
          <w:sz w:val="32"/>
          <w:szCs w:val="32"/>
        </w:rPr>
        <w:t>7亿元。</w:t>
      </w:r>
      <w:r>
        <w:rPr>
          <w:rFonts w:hint="eastAsia" w:ascii="仿宋_GB2312" w:hAnsi="仿宋_GB2312" w:cs="仿宋_GB2312"/>
          <w:sz w:val="32"/>
          <w:szCs w:val="32"/>
        </w:rPr>
        <w:t>根据省人民政府第12次常务会议纪要和《贵州省工业及省属国有企业绿色发展基金管理办法》相关要求和分管省领导批准，2019年省工信发展专项资金安排6亿元注入工业及省属国有企业绿色发展基金；此外，预算中包含了由省市场监管局管理的1.4亿元小微扶持资金，省工信厅实际安排（分配）2019年度工信发展专项资金为49917万元</w:t>
      </w:r>
      <w:r>
        <w:rPr>
          <w:rFonts w:hint="eastAsia" w:ascii="仿宋_GB2312"/>
          <w:spacing w:val="6"/>
          <w:sz w:val="32"/>
          <w:szCs w:val="32"/>
        </w:rPr>
        <w:t>。</w:t>
      </w:r>
    </w:p>
    <w:p>
      <w:pPr>
        <w:spacing w:line="560" w:lineRule="exact"/>
        <w:ind w:firstLine="664" w:firstLineChars="200"/>
        <w:rPr>
          <w:rFonts w:ascii="仿宋_GB2312"/>
          <w:spacing w:val="6"/>
          <w:sz w:val="32"/>
          <w:szCs w:val="32"/>
        </w:rPr>
      </w:pPr>
      <w:r>
        <w:rPr>
          <w:rFonts w:hint="eastAsia" w:ascii="仿宋_GB2312"/>
          <w:spacing w:val="6"/>
          <w:sz w:val="32"/>
          <w:szCs w:val="32"/>
        </w:rPr>
        <w:t>省财政厅在2019年中，按省本级和省对下分20次拨付到项目管理部门和市州。具体拨付情况见表2-3。</w:t>
      </w:r>
    </w:p>
    <w:tbl>
      <w:tblPr>
        <w:tblStyle w:val="21"/>
        <w:tblW w:w="9577" w:type="dxa"/>
        <w:tblInd w:w="108" w:type="dxa"/>
        <w:tblLayout w:type="autofit"/>
        <w:tblCellMar>
          <w:top w:w="0" w:type="dxa"/>
          <w:left w:w="108" w:type="dxa"/>
          <w:bottom w:w="0" w:type="dxa"/>
          <w:right w:w="108" w:type="dxa"/>
        </w:tblCellMar>
      </w:tblPr>
      <w:tblGrid>
        <w:gridCol w:w="9577"/>
      </w:tblGrid>
      <w:tr>
        <w:tblPrEx>
          <w:tblCellMar>
            <w:top w:w="0" w:type="dxa"/>
            <w:left w:w="108" w:type="dxa"/>
            <w:bottom w:w="0" w:type="dxa"/>
            <w:right w:w="108" w:type="dxa"/>
          </w:tblCellMar>
        </w:tblPrEx>
        <w:trPr>
          <w:trHeight w:val="420" w:hRule="atLeast"/>
        </w:trPr>
        <w:tc>
          <w:tcPr>
            <w:tcW w:w="9577" w:type="dxa"/>
            <w:tcBorders>
              <w:top w:val="nil"/>
              <w:left w:val="nil"/>
              <w:bottom w:val="nil"/>
              <w:right w:val="nil"/>
            </w:tcBorders>
            <w:shd w:val="clear" w:color="auto" w:fill="auto"/>
            <w:noWrap/>
            <w:vAlign w:val="center"/>
          </w:tcPr>
          <w:p>
            <w:pPr>
              <w:widowControl/>
              <w:spacing w:line="560" w:lineRule="exact"/>
              <w:jc w:val="center"/>
              <w:rPr>
                <w:rFonts w:ascii="仿宋_GB2312"/>
                <w:b/>
                <w:spacing w:val="6"/>
                <w:sz w:val="32"/>
                <w:szCs w:val="32"/>
              </w:rPr>
            </w:pPr>
            <w:r>
              <w:rPr>
                <w:rFonts w:hint="eastAsia" w:ascii="仿宋_GB2312"/>
                <w:b/>
                <w:spacing w:val="6"/>
                <w:sz w:val="32"/>
                <w:szCs w:val="32"/>
              </w:rPr>
              <w:t>表2-3　2019年省工信发展专项资金安排情况表</w:t>
            </w:r>
          </w:p>
          <w:tbl>
            <w:tblPr>
              <w:tblStyle w:val="21"/>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977"/>
              <w:gridCol w:w="1792"/>
              <w:gridCol w:w="176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序号</w:t>
                  </w:r>
                </w:p>
              </w:tc>
              <w:tc>
                <w:tcPr>
                  <w:tcW w:w="2977" w:type="dxa"/>
                  <w:shd w:val="clear" w:color="auto" w:fill="auto"/>
                  <w:noWrap/>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资金拨付文号</w:t>
                  </w:r>
                </w:p>
              </w:tc>
              <w:tc>
                <w:tcPr>
                  <w:tcW w:w="1792" w:type="dxa"/>
                  <w:shd w:val="clear" w:color="auto" w:fill="auto"/>
                  <w:noWrap/>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拨付资金量</w:t>
                  </w:r>
                </w:p>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（万元）</w:t>
                  </w:r>
                </w:p>
              </w:tc>
              <w:tc>
                <w:tcPr>
                  <w:tcW w:w="1769" w:type="dxa"/>
                  <w:shd w:val="clear" w:color="auto" w:fill="auto"/>
                  <w:noWrap/>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支持项目数量（个）</w:t>
                  </w:r>
                </w:p>
              </w:tc>
              <w:tc>
                <w:tcPr>
                  <w:tcW w:w="1400" w:type="dxa"/>
                  <w:vAlign w:val="center"/>
                </w:tcPr>
                <w:p>
                  <w:pPr>
                    <w:widowControl/>
                    <w:spacing w:line="360" w:lineRule="exact"/>
                    <w:jc w:val="center"/>
                    <w:rPr>
                      <w:rFonts w:ascii="黑体" w:hAnsi="黑体" w:eastAsia="黑体" w:cs="宋体"/>
                      <w:bCs/>
                      <w:kern w:val="0"/>
                      <w:sz w:val="24"/>
                    </w:rPr>
                  </w:pPr>
                  <w:r>
                    <w:rPr>
                      <w:rFonts w:hint="eastAsia" w:ascii="黑体" w:hAnsi="黑体" w:eastAsia="黑体"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黔财工〔2019〕17号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8112</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121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黔财工〔2019〕22号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730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黔财工〔2019〕25号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823</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黔财工〔2019〕28号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4509</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23</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黔财工〔2019〕73号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3492</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黔财工〔2019〕80号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1757.5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黔财工〔2019〕93号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435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黔财工〔2019〕95号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1095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黔财工〔2019〕116号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260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黔财工〔2019〕119号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16900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70</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黔财工〔2019〕133号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980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12</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黔财工〔2019〕139号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300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13</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黔财工〔2019〕151号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1838</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76</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14</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黔财工〔2019〕162号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488</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15</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 xml:space="preserve">黔财工〔2019〕178号 </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89</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黔财工〔2019〕188号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400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17</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黔财工〔2019〕193号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1405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26</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18</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黔财工〔2019〕213号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500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19</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黔财工〔2019〕214号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1540</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20</w:t>
                  </w:r>
                </w:p>
              </w:tc>
              <w:tc>
                <w:tcPr>
                  <w:tcW w:w="2977"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黔财工〔2019〕224号</w:t>
                  </w:r>
                </w:p>
              </w:tc>
              <w:tc>
                <w:tcPr>
                  <w:tcW w:w="1792"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4263.5</w:t>
                  </w:r>
                </w:p>
              </w:tc>
              <w:tc>
                <w:tcPr>
                  <w:tcW w:w="1769" w:type="dxa"/>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64</w:t>
                  </w:r>
                </w:p>
              </w:tc>
              <w:tc>
                <w:tcPr>
                  <w:tcW w:w="1400" w:type="dxa"/>
                </w:tcPr>
                <w:p>
                  <w:pPr>
                    <w:widowControl/>
                    <w:jc w:val="center"/>
                    <w:rPr>
                      <w:rFonts w:ascii="仿宋_GB2312" w:cs="宋体"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3" w:type="dxa"/>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　</w:t>
                  </w:r>
                </w:p>
              </w:tc>
              <w:tc>
                <w:tcPr>
                  <w:tcW w:w="2977" w:type="dxa"/>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合计</w:t>
                  </w:r>
                </w:p>
              </w:tc>
              <w:tc>
                <w:tcPr>
                  <w:tcW w:w="1792" w:type="dxa"/>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49917</w:t>
                  </w:r>
                </w:p>
              </w:tc>
              <w:tc>
                <w:tcPr>
                  <w:tcW w:w="1769" w:type="dxa"/>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440</w:t>
                  </w:r>
                </w:p>
              </w:tc>
              <w:tc>
                <w:tcPr>
                  <w:tcW w:w="1400" w:type="dxa"/>
                </w:tcPr>
                <w:p>
                  <w:pPr>
                    <w:widowControl/>
                    <w:jc w:val="center"/>
                    <w:rPr>
                      <w:rFonts w:ascii="仿宋_GB2312" w:cs="宋体" w:hAnsiTheme="minorEastAsia"/>
                      <w:b/>
                      <w:bCs/>
                      <w:kern w:val="0"/>
                      <w:sz w:val="24"/>
                    </w:rPr>
                  </w:pPr>
                </w:p>
              </w:tc>
            </w:tr>
          </w:tbl>
          <w:p>
            <w:pPr>
              <w:widowControl/>
              <w:spacing w:line="590" w:lineRule="exact"/>
              <w:ind w:firstLine="584" w:firstLineChars="200"/>
              <w:rPr>
                <w:rFonts w:ascii="宋体" w:hAnsi="宋体" w:eastAsia="宋体" w:cs="宋体"/>
                <w:spacing w:val="6"/>
                <w:kern w:val="0"/>
                <w:sz w:val="28"/>
                <w:szCs w:val="28"/>
              </w:rPr>
            </w:pPr>
          </w:p>
        </w:tc>
      </w:tr>
    </w:tbl>
    <w:p>
      <w:pPr>
        <w:spacing w:line="560" w:lineRule="exact"/>
        <w:ind w:firstLine="640" w:firstLineChars="200"/>
        <w:contextualSpacing/>
        <w:rPr>
          <w:rFonts w:ascii="仿宋_GB2312"/>
          <w:sz w:val="32"/>
          <w:szCs w:val="32"/>
        </w:rPr>
      </w:pPr>
      <w:r>
        <w:rPr>
          <w:rFonts w:hint="eastAsia" w:ascii="仿宋_GB2312"/>
          <w:sz w:val="32"/>
          <w:szCs w:val="32"/>
        </w:rPr>
        <w:t>2019年度省工信发展专项资金主要采用投贷联动、融资贴息、投资补助、以奖代补以及购买服务等方式支持440个项目。专项资金分配情况见表1-4：</w:t>
      </w:r>
    </w:p>
    <w:p>
      <w:pPr>
        <w:spacing w:line="560" w:lineRule="exact"/>
        <w:contextualSpacing/>
        <w:jc w:val="center"/>
        <w:rPr>
          <w:rFonts w:ascii="仿宋_GB2312"/>
          <w:b/>
          <w:sz w:val="32"/>
          <w:szCs w:val="32"/>
        </w:rPr>
      </w:pPr>
      <w:r>
        <w:rPr>
          <w:rFonts w:hint="eastAsia" w:ascii="仿宋_GB2312" w:hAnsi="仿宋"/>
          <w:b/>
          <w:spacing w:val="6"/>
          <w:sz w:val="32"/>
          <w:szCs w:val="32"/>
        </w:rPr>
        <w:t>表2-4  2019年度</w:t>
      </w:r>
      <w:r>
        <w:rPr>
          <w:rFonts w:hint="eastAsia" w:ascii="仿宋_GB2312"/>
          <w:b/>
          <w:sz w:val="32"/>
          <w:szCs w:val="32"/>
        </w:rPr>
        <w:t>省工信发展专项资金分配情况表</w:t>
      </w:r>
    </w:p>
    <w:tbl>
      <w:tblPr>
        <w:tblStyle w:val="21"/>
        <w:tblW w:w="8670" w:type="dxa"/>
        <w:tblInd w:w="93" w:type="dxa"/>
        <w:tblLayout w:type="autofit"/>
        <w:tblCellMar>
          <w:top w:w="0" w:type="dxa"/>
          <w:left w:w="108" w:type="dxa"/>
          <w:bottom w:w="0" w:type="dxa"/>
          <w:right w:w="108" w:type="dxa"/>
        </w:tblCellMar>
      </w:tblPr>
      <w:tblGrid>
        <w:gridCol w:w="724"/>
        <w:gridCol w:w="3119"/>
        <w:gridCol w:w="1112"/>
        <w:gridCol w:w="1216"/>
        <w:gridCol w:w="1408"/>
        <w:gridCol w:w="1091"/>
      </w:tblGrid>
      <w:tr>
        <w:tblPrEx>
          <w:tblCellMar>
            <w:top w:w="0" w:type="dxa"/>
            <w:left w:w="108" w:type="dxa"/>
            <w:bottom w:w="0" w:type="dxa"/>
            <w:right w:w="108" w:type="dxa"/>
          </w:tblCellMar>
        </w:tblPrEx>
        <w:trPr>
          <w:trHeight w:val="285"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序号</w:t>
            </w:r>
          </w:p>
        </w:tc>
        <w:tc>
          <w:tcPr>
            <w:tcW w:w="311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分类</w:t>
            </w:r>
          </w:p>
        </w:tc>
        <w:tc>
          <w:tcPr>
            <w:tcW w:w="232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项目情况</w:t>
            </w:r>
          </w:p>
        </w:tc>
        <w:tc>
          <w:tcPr>
            <w:tcW w:w="249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专项资金情况</w:t>
            </w:r>
          </w:p>
        </w:tc>
      </w:tr>
      <w:tr>
        <w:tblPrEx>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Cs/>
                <w:kern w:val="0"/>
                <w:sz w:val="24"/>
              </w:rPr>
            </w:pP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Cs/>
                <w:kern w:val="0"/>
                <w:sz w:val="24"/>
              </w:rPr>
            </w:pPr>
          </w:p>
        </w:tc>
        <w:tc>
          <w:tcPr>
            <w:tcW w:w="1112"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项目数</w:t>
            </w:r>
          </w:p>
        </w:tc>
        <w:tc>
          <w:tcPr>
            <w:tcW w:w="121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项目占比</w:t>
            </w:r>
          </w:p>
        </w:tc>
        <w:tc>
          <w:tcPr>
            <w:tcW w:w="14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bCs/>
                <w:kern w:val="0"/>
                <w:sz w:val="24"/>
              </w:rPr>
            </w:pPr>
            <w:r>
              <w:rPr>
                <w:rFonts w:hint="eastAsia" w:ascii="黑体" w:hAnsi="黑体" w:eastAsia="黑体" w:cs="宋体"/>
                <w:bCs/>
                <w:kern w:val="0"/>
                <w:sz w:val="24"/>
              </w:rPr>
              <w:t>专项资金额度</w:t>
            </w:r>
          </w:p>
        </w:tc>
        <w:tc>
          <w:tcPr>
            <w:tcW w:w="109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黑体" w:hAnsi="黑体" w:eastAsia="黑体" w:cs="宋体"/>
                <w:bCs/>
                <w:kern w:val="0"/>
                <w:sz w:val="24"/>
              </w:rPr>
            </w:pPr>
            <w:r>
              <w:rPr>
                <w:rFonts w:hint="eastAsia" w:ascii="黑体" w:hAnsi="黑体" w:eastAsia="黑体" w:cs="宋体"/>
                <w:bCs/>
                <w:kern w:val="0"/>
                <w:sz w:val="24"/>
              </w:rPr>
              <w:t>经费占比(%)</w:t>
            </w:r>
          </w:p>
        </w:tc>
      </w:tr>
      <w:tr>
        <w:tblPrEx>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24"/>
              </w:rPr>
            </w:pPr>
          </w:p>
        </w:tc>
        <w:tc>
          <w:tcPr>
            <w:tcW w:w="31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24"/>
              </w:rPr>
            </w:pP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(个)</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(万元)</w:t>
            </w:r>
          </w:p>
        </w:tc>
        <w:tc>
          <w:tcPr>
            <w:tcW w:w="109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bCs/>
                <w:kern w:val="0"/>
                <w:sz w:val="24"/>
              </w:rPr>
            </w:pP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食盐储备</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0.23%</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400</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0.80%</w:t>
            </w:r>
          </w:p>
        </w:tc>
      </w:tr>
      <w:tr>
        <w:tblPrEx>
          <w:tblCellMar>
            <w:top w:w="0" w:type="dxa"/>
            <w:left w:w="108" w:type="dxa"/>
            <w:bottom w:w="0"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w:t>
            </w:r>
          </w:p>
        </w:tc>
        <w:tc>
          <w:tcPr>
            <w:tcW w:w="31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企业改扩建和结构调整</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23</w:t>
            </w:r>
          </w:p>
        </w:tc>
        <w:tc>
          <w:tcPr>
            <w:tcW w:w="121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5.23%</w:t>
            </w:r>
          </w:p>
        </w:tc>
        <w:tc>
          <w:tcPr>
            <w:tcW w:w="140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4509</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9.03%</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工业园区</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15.91%</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16900</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33.86%</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民营经济（中小企业发展）</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293</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66.59%</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16858.5</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33.77%</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5</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规模以上工业企业奖励资金</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0.68%</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435</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0.87%</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6</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技术创新</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1.59%</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730</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1.46%</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资源综合利用</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2.50%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1623</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3.25%</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工作经费</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32</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7.27%</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8461.5</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16.95%</w:t>
            </w: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　</w:t>
            </w: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合计</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440</w:t>
            </w:r>
          </w:p>
        </w:tc>
        <w:tc>
          <w:tcPr>
            <w:tcW w:w="12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100%</w:t>
            </w:r>
          </w:p>
        </w:tc>
        <w:tc>
          <w:tcPr>
            <w:tcW w:w="14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49917</w:t>
            </w:r>
          </w:p>
        </w:tc>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cs="宋体" w:hAnsiTheme="minorEastAsia"/>
                <w:b/>
                <w:bCs/>
                <w:kern w:val="0"/>
                <w:sz w:val="24"/>
              </w:rPr>
            </w:pPr>
            <w:r>
              <w:rPr>
                <w:rFonts w:hint="eastAsia" w:ascii="仿宋_GB2312" w:cs="宋体" w:hAnsiTheme="minorEastAsia"/>
                <w:b/>
                <w:bCs/>
                <w:kern w:val="0"/>
                <w:sz w:val="24"/>
              </w:rPr>
              <w:t>100%</w:t>
            </w:r>
          </w:p>
        </w:tc>
      </w:tr>
    </w:tbl>
    <w:p>
      <w:pPr>
        <w:pStyle w:val="16"/>
        <w:ind w:firstLine="664"/>
        <w:rPr>
          <w:b w:val="0"/>
          <w:spacing w:val="6"/>
        </w:rPr>
      </w:pPr>
      <w:bookmarkStart w:id="140" w:name="_Toc41420793"/>
      <w:bookmarkStart w:id="141" w:name="_Toc40873771"/>
      <w:bookmarkStart w:id="142" w:name="_Toc41419923"/>
      <w:r>
        <w:rPr>
          <w:rFonts w:hint="eastAsia"/>
          <w:b w:val="0"/>
          <w:spacing w:val="6"/>
        </w:rPr>
        <w:t>（四）项目实施内容及进展情况</w:t>
      </w:r>
      <w:bookmarkEnd w:id="140"/>
      <w:bookmarkEnd w:id="141"/>
      <w:bookmarkEnd w:id="142"/>
    </w:p>
    <w:p>
      <w:pPr>
        <w:spacing w:line="560" w:lineRule="exact"/>
        <w:ind w:firstLine="640" w:firstLineChars="200"/>
        <w:rPr>
          <w:rFonts w:ascii="仿宋_GB2312"/>
          <w:sz w:val="32"/>
          <w:szCs w:val="32"/>
        </w:rPr>
      </w:pPr>
      <w:r>
        <w:rPr>
          <w:rFonts w:hint="eastAsia" w:ascii="仿宋_GB2312"/>
          <w:sz w:val="32"/>
          <w:szCs w:val="32"/>
        </w:rPr>
        <w:t>省工信发展专项资金2019年度支持的项目实施内容主要有：支持工业企业结构调整和技术改造、技术创新、节约能源及资源综合利用；扶持民营经济及中小企业发展；推进工业园区建设；保障省委省政府确定的重点产业发展、重点工作开展以及重点项目建设等,以及为完成上述工作进行的规划编制、课题研究和项目管理工作。</w:t>
      </w:r>
    </w:p>
    <w:p>
      <w:pPr>
        <w:spacing w:line="560" w:lineRule="exact"/>
        <w:ind w:firstLine="640" w:firstLineChars="200"/>
        <w:rPr>
          <w:rFonts w:ascii="仿宋_GB2312"/>
          <w:sz w:val="32"/>
          <w:szCs w:val="32"/>
        </w:rPr>
      </w:pPr>
      <w:r>
        <w:rPr>
          <w:rFonts w:hint="eastAsia" w:ascii="仿宋_GB2312"/>
          <w:sz w:val="32"/>
          <w:szCs w:val="32"/>
        </w:rPr>
        <w:t>本次评价现场勘查抽样的25个项目中，按计划时间完成和按计划时间正在进行的项目有23个（其中有2个项目延期履行调整手续），占抽样项目的92.00%；延期且无调整手续的项目有2个，占抽样项目的8.00%。</w:t>
      </w:r>
    </w:p>
    <w:p>
      <w:pPr>
        <w:spacing w:line="560" w:lineRule="exact"/>
        <w:ind w:firstLine="664" w:firstLineChars="200"/>
        <w:rPr>
          <w:rFonts w:ascii="楷体_GB2312" w:eastAsia="楷体_GB2312"/>
          <w:b/>
          <w:spacing w:val="6"/>
          <w:sz w:val="32"/>
          <w:szCs w:val="32"/>
        </w:rPr>
      </w:pPr>
      <w:r>
        <w:rPr>
          <w:rFonts w:hint="eastAsia" w:ascii="楷体_GB2312" w:eastAsia="楷体_GB2312"/>
          <w:spacing w:val="6"/>
          <w:sz w:val="32"/>
          <w:szCs w:val="32"/>
        </w:rPr>
        <w:t>（五）组织管理情况</w:t>
      </w:r>
    </w:p>
    <w:p>
      <w:pPr>
        <w:spacing w:line="560" w:lineRule="exact"/>
        <w:ind w:firstLine="640" w:firstLineChars="200"/>
        <w:contextualSpacing/>
        <w:rPr>
          <w:rFonts w:ascii="仿宋_GB2312"/>
          <w:sz w:val="32"/>
          <w:szCs w:val="32"/>
        </w:rPr>
      </w:pPr>
      <w:r>
        <w:rPr>
          <w:rFonts w:hint="eastAsia" w:ascii="仿宋_GB2312"/>
          <w:sz w:val="32"/>
          <w:szCs w:val="32"/>
        </w:rPr>
        <w:t>专项资金由省财政厅和省工信厅按职责分工共同管理。省财政厅负责专项资金预算管理、资金拨付下达、开展专项资金财政监督检查和绩效评价等。省工信厅负责专项资金的年度预算编制及执行，制定专项资金年度支持方向和重点，组织项目申报、评审，进行项目业务指导、监督检查、绩效自评等工作。</w:t>
      </w:r>
    </w:p>
    <w:p>
      <w:pPr>
        <w:spacing w:line="560" w:lineRule="exact"/>
        <w:ind w:firstLine="640" w:firstLineChars="200"/>
        <w:rPr>
          <w:rFonts w:ascii="仿宋_GB2312" w:hAnsi="宋体" w:cs="宋体"/>
          <w:kern w:val="0"/>
          <w:sz w:val="32"/>
          <w:szCs w:val="32"/>
        </w:rPr>
      </w:pPr>
      <w:r>
        <w:rPr>
          <w:rFonts w:hint="eastAsia"/>
          <w:sz w:val="32"/>
          <w:szCs w:val="32"/>
        </w:rPr>
        <w:t>省工信厅根据专项资金支持项目类型分类，明确专项资金由规划处牵头组织协调，由科技处、工业园区处、中小企业处、节能处等处室</w:t>
      </w:r>
      <w:r>
        <w:rPr>
          <w:rFonts w:hint="eastAsia" w:ascii="仿宋_GB2312" w:hAnsi="宋体" w:cs="宋体"/>
          <w:kern w:val="0"/>
          <w:sz w:val="32"/>
          <w:szCs w:val="32"/>
        </w:rPr>
        <w:t>按职责职能进行归口管理；各地工业和信息化主管部门按照属地原则，在内部明确了专项资金的管理机构及管理责任人。</w:t>
      </w:r>
    </w:p>
    <w:p>
      <w:pPr>
        <w:pStyle w:val="2"/>
        <w:spacing w:before="0" w:beforeAutospacing="0" w:after="0" w:afterAutospacing="0"/>
        <w:rPr>
          <w:b w:val="0"/>
          <w:spacing w:val="6"/>
        </w:rPr>
      </w:pPr>
      <w:bookmarkStart w:id="143" w:name="_Toc41419924"/>
      <w:bookmarkStart w:id="144" w:name="_Toc41420794"/>
      <w:bookmarkStart w:id="145" w:name="_Toc40873772"/>
      <w:r>
        <w:rPr>
          <w:rFonts w:hint="eastAsia"/>
          <w:b w:val="0"/>
          <w:spacing w:val="6"/>
        </w:rPr>
        <w:t>三、绩效评价组织情况</w:t>
      </w:r>
      <w:bookmarkEnd w:id="143"/>
      <w:bookmarkEnd w:id="144"/>
      <w:bookmarkEnd w:id="145"/>
    </w:p>
    <w:p>
      <w:pPr>
        <w:pStyle w:val="16"/>
        <w:ind w:firstLine="664"/>
        <w:rPr>
          <w:b w:val="0"/>
          <w:spacing w:val="6"/>
        </w:rPr>
      </w:pPr>
      <w:bookmarkStart w:id="146" w:name="_Toc41420795"/>
      <w:bookmarkStart w:id="147" w:name="_Toc41419925"/>
      <w:bookmarkStart w:id="148" w:name="_Toc40873773"/>
      <w:r>
        <w:rPr>
          <w:rFonts w:hint="eastAsia"/>
          <w:b w:val="0"/>
          <w:spacing w:val="6"/>
        </w:rPr>
        <w:t>（一）绩效评价依据</w:t>
      </w:r>
      <w:bookmarkEnd w:id="146"/>
      <w:bookmarkEnd w:id="147"/>
      <w:bookmarkEnd w:id="148"/>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cstheme="minorBidi"/>
          <w:kern w:val="2"/>
          <w:sz w:val="32"/>
          <w:szCs w:val="32"/>
        </w:rPr>
        <w:t>1.</w:t>
      </w:r>
      <w:r>
        <w:rPr>
          <w:rFonts w:hint="eastAsia" w:ascii="仿宋_GB2312" w:hAnsi="仿宋" w:eastAsia="仿宋_GB2312"/>
          <w:sz w:val="32"/>
          <w:szCs w:val="32"/>
        </w:rPr>
        <w:t>《中华人民共和国预算法》（2014年修订）</w:t>
      </w:r>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2.绩效管理及绩效评价政策制度</w:t>
      </w:r>
    </w:p>
    <w:p>
      <w:pPr>
        <w:pStyle w:val="20"/>
        <w:adjustRightInd w:val="0"/>
        <w:snapToGrid w:val="0"/>
        <w:spacing w:before="0" w:beforeAutospacing="0" w:after="0" w:afterAutospacing="0" w:line="560" w:lineRule="exact"/>
        <w:ind w:firstLine="640" w:firstLineChars="200"/>
        <w:rPr>
          <w:rFonts w:ascii="仿宋_GB2312" w:hAnsi="Calibri" w:eastAsia="仿宋_GB2312" w:cs="仿宋_GB2312"/>
          <w:sz w:val="32"/>
          <w:szCs w:val="32"/>
        </w:rPr>
      </w:pPr>
      <w:r>
        <w:rPr>
          <w:rFonts w:hint="eastAsia" w:ascii="仿宋_GB2312" w:hAnsi="仿宋" w:eastAsia="仿宋_GB2312"/>
          <w:sz w:val="32"/>
          <w:szCs w:val="32"/>
        </w:rPr>
        <w:t>（1）</w:t>
      </w:r>
      <w:r>
        <w:rPr>
          <w:rFonts w:hint="eastAsia" w:ascii="仿宋_GB2312" w:eastAsia="仿宋_GB2312" w:hAnsiTheme="minorEastAsia"/>
          <w:sz w:val="32"/>
          <w:szCs w:val="32"/>
        </w:rPr>
        <w:t>《中共中央 国务院关于全面实施预算绩效管理的意见》</w:t>
      </w:r>
      <w:r>
        <w:rPr>
          <w:rFonts w:hint="eastAsia" w:ascii="仿宋_GB2312" w:hAnsi="Calibri" w:eastAsia="仿宋_GB2312" w:cs="仿宋_GB2312"/>
          <w:sz w:val="32"/>
          <w:szCs w:val="32"/>
        </w:rPr>
        <w:t>（中发〔2018〕34号）；</w:t>
      </w:r>
    </w:p>
    <w:p>
      <w:pPr>
        <w:pStyle w:val="20"/>
        <w:adjustRightInd w:val="0"/>
        <w:snapToGrid w:val="0"/>
        <w:spacing w:before="0" w:beforeAutospacing="0" w:after="0" w:afterAutospacing="0" w:line="560" w:lineRule="exact"/>
        <w:ind w:firstLine="640" w:firstLineChars="200"/>
        <w:rPr>
          <w:rFonts w:ascii="仿宋_GB2312" w:hAnsi="Calibri" w:eastAsia="仿宋_GB2312" w:cs="仿宋_GB2312"/>
          <w:sz w:val="32"/>
          <w:szCs w:val="32"/>
        </w:rPr>
      </w:pPr>
      <w:r>
        <w:rPr>
          <w:rFonts w:hint="eastAsia" w:ascii="仿宋_GB2312" w:hAnsi="Calibri" w:eastAsia="仿宋_GB2312" w:cs="仿宋_GB2312"/>
          <w:sz w:val="32"/>
          <w:szCs w:val="32"/>
        </w:rPr>
        <w:t>（2）《财政部关于贯彻落实〈中共中央 国务院关于全面实施预算绩效管理的意见〉的通知》(财预〔2018〕167号)；</w:t>
      </w:r>
    </w:p>
    <w:p>
      <w:pPr>
        <w:pStyle w:val="20"/>
        <w:adjustRightInd w:val="0"/>
        <w:snapToGrid w:val="0"/>
        <w:spacing w:before="0" w:beforeAutospacing="0" w:after="0" w:afterAutospacing="0" w:line="560" w:lineRule="exact"/>
        <w:ind w:firstLine="640" w:firstLineChars="200"/>
        <w:rPr>
          <w:rFonts w:ascii="仿宋_GB2312" w:eastAsia="仿宋_GB2312" w:hAnsiTheme="minorEastAsia"/>
          <w:sz w:val="32"/>
          <w:szCs w:val="32"/>
        </w:rPr>
      </w:pPr>
      <w:r>
        <w:rPr>
          <w:rFonts w:hint="eastAsia" w:ascii="仿宋_GB2312" w:hAnsi="Calibri" w:eastAsia="仿宋_GB2312" w:cs="仿宋_GB2312"/>
          <w:sz w:val="32"/>
          <w:szCs w:val="32"/>
        </w:rPr>
        <w:t>（3）</w:t>
      </w:r>
      <w:r>
        <w:rPr>
          <w:rFonts w:hint="eastAsia" w:ascii="仿宋_GB2312" w:eastAsia="仿宋_GB2312"/>
          <w:sz w:val="32"/>
          <w:szCs w:val="32"/>
        </w:rPr>
        <w:t>《中共贵州省委 贵州省人民政府关于全面实施预算绩效管理的实施意见》</w:t>
      </w:r>
      <w:r>
        <w:rPr>
          <w:rFonts w:hint="eastAsia" w:ascii="仿宋_GB2312" w:eastAsia="仿宋_GB2312" w:hAnsiTheme="minorEastAsia"/>
          <w:sz w:val="32"/>
          <w:szCs w:val="32"/>
        </w:rPr>
        <w:t>（黔党发〔</w:t>
      </w:r>
      <w:r>
        <w:rPr>
          <w:rFonts w:ascii="仿宋_GB2312" w:eastAsia="仿宋_GB2312" w:hAnsiTheme="minorEastAsia"/>
          <w:sz w:val="32"/>
          <w:szCs w:val="32"/>
        </w:rPr>
        <w:t>2019〕29号）</w:t>
      </w:r>
      <w:r>
        <w:rPr>
          <w:rFonts w:hint="eastAsia" w:ascii="仿宋_GB2312" w:eastAsia="仿宋_GB2312" w:hAnsiTheme="minorEastAsia"/>
          <w:sz w:val="32"/>
          <w:szCs w:val="32"/>
        </w:rPr>
        <w:t>；</w:t>
      </w:r>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eastAsia="仿宋_GB2312" w:hAnsiTheme="minorEastAsia"/>
          <w:sz w:val="32"/>
          <w:szCs w:val="32"/>
        </w:rPr>
        <w:t>（4）</w:t>
      </w:r>
      <w:r>
        <w:rPr>
          <w:rFonts w:hint="eastAsia" w:ascii="仿宋_GB2312" w:hAnsi="仿宋" w:eastAsia="仿宋_GB2312"/>
          <w:sz w:val="32"/>
          <w:szCs w:val="32"/>
        </w:rPr>
        <w:t>《财政部关于印发&lt;项目支出绩效管理办法&gt;的通知》（财预〔2020〕10号）；</w:t>
      </w:r>
    </w:p>
    <w:p>
      <w:pPr>
        <w:pStyle w:val="20"/>
        <w:adjustRightInd w:val="0"/>
        <w:snapToGrid w:val="0"/>
        <w:spacing w:before="0" w:beforeAutospacing="0" w:after="0" w:afterAutospacing="0" w:line="560" w:lineRule="exact"/>
        <w:ind w:firstLine="640" w:firstLineChars="200"/>
        <w:rPr>
          <w:rFonts w:ascii="仿宋_GB2312" w:eastAsia="仿宋_GB2312"/>
          <w:sz w:val="32"/>
          <w:szCs w:val="32"/>
        </w:rPr>
      </w:pPr>
      <w:r>
        <w:rPr>
          <w:rFonts w:hint="eastAsia" w:ascii="仿宋_GB2312" w:hAnsi="仿宋" w:eastAsia="仿宋_GB2312"/>
          <w:sz w:val="32"/>
          <w:szCs w:val="32"/>
        </w:rPr>
        <w:t>（5）</w:t>
      </w:r>
      <w:r>
        <w:rPr>
          <w:rFonts w:hint="eastAsia" w:ascii="仿宋_GB2312" w:eastAsia="仿宋_GB2312"/>
          <w:sz w:val="32"/>
          <w:szCs w:val="32"/>
        </w:rPr>
        <w:t>《省财政厅关于省直部门开展2019年度项目支出绩效自评工作的通知》（黔财绩</w:t>
      </w:r>
      <w:r>
        <w:rPr>
          <w:rFonts w:hint="eastAsia" w:ascii="仿宋_GB2312" w:hAnsi="仿宋" w:eastAsia="仿宋_GB2312"/>
          <w:sz w:val="32"/>
          <w:szCs w:val="32"/>
        </w:rPr>
        <w:t>〔</w:t>
      </w:r>
      <w:r>
        <w:rPr>
          <w:rFonts w:hint="eastAsia" w:ascii="仿宋_GB2312" w:eastAsia="仿宋_GB2312"/>
          <w:sz w:val="32"/>
          <w:szCs w:val="32"/>
        </w:rPr>
        <w:t>2019</w:t>
      </w:r>
      <w:r>
        <w:rPr>
          <w:rFonts w:hint="eastAsia" w:ascii="仿宋_GB2312" w:hAnsi="仿宋" w:eastAsia="仿宋_GB2312"/>
          <w:sz w:val="32"/>
          <w:szCs w:val="32"/>
        </w:rPr>
        <w:t>〕</w:t>
      </w:r>
      <w:r>
        <w:rPr>
          <w:rFonts w:hint="eastAsia" w:ascii="仿宋_GB2312" w:eastAsia="仿宋_GB2312"/>
          <w:sz w:val="32"/>
          <w:szCs w:val="32"/>
        </w:rPr>
        <w:t>23号）；</w:t>
      </w:r>
    </w:p>
    <w:p>
      <w:pPr>
        <w:pStyle w:val="20"/>
        <w:adjustRightInd w:val="0"/>
        <w:snapToGrid w:val="0"/>
        <w:spacing w:before="0" w:beforeAutospacing="0" w:after="0" w:afterAutospacing="0" w:line="560" w:lineRule="exact"/>
        <w:ind w:firstLine="640" w:firstLineChars="20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《省财政厅关于印发〈贵州省全面实施预算绩效管理推进工作方案〉的通知》（黔财绩</w:t>
      </w:r>
      <w:r>
        <w:rPr>
          <w:rFonts w:hint="eastAsia" w:ascii="仿宋_GB2312" w:hAnsi="仿宋" w:eastAsia="仿宋_GB2312"/>
          <w:sz w:val="32"/>
          <w:szCs w:val="32"/>
        </w:rPr>
        <w:t>〔</w:t>
      </w:r>
      <w:r>
        <w:rPr>
          <w:rFonts w:hint="eastAsia" w:ascii="仿宋_GB2312" w:eastAsia="仿宋_GB2312"/>
          <w:sz w:val="32"/>
          <w:szCs w:val="32"/>
        </w:rPr>
        <w:t>2020</w:t>
      </w:r>
      <w:r>
        <w:rPr>
          <w:rFonts w:hint="eastAsia" w:ascii="仿宋_GB2312" w:hAnsi="仿宋" w:eastAsia="仿宋_GB2312"/>
          <w:sz w:val="32"/>
          <w:szCs w:val="32"/>
        </w:rPr>
        <w:t>〕</w:t>
      </w:r>
      <w:r>
        <w:rPr>
          <w:rFonts w:hint="eastAsia" w:ascii="仿宋_GB2312" w:eastAsia="仿宋_GB2312"/>
          <w:sz w:val="32"/>
          <w:szCs w:val="32"/>
        </w:rPr>
        <w:t>4号）；</w:t>
      </w:r>
    </w:p>
    <w:p>
      <w:pPr>
        <w:pStyle w:val="20"/>
        <w:widowControl w:val="0"/>
        <w:adjustRightInd w:val="0"/>
        <w:spacing w:before="0" w:beforeAutospacing="0" w:after="0" w:afterAutospacing="0" w:line="560" w:lineRule="exact"/>
        <w:ind w:firstLine="640" w:firstLineChars="200"/>
        <w:rPr>
          <w:rFonts w:ascii="仿宋_GB2312" w:eastAsia="仿宋_GB2312"/>
          <w:sz w:val="32"/>
          <w:szCs w:val="32"/>
        </w:rPr>
      </w:pPr>
      <w:r>
        <w:rPr>
          <w:rFonts w:hint="eastAsia" w:ascii="仿宋_GB2312" w:hAnsi="仿宋" w:eastAsia="仿宋_GB2312"/>
          <w:sz w:val="32"/>
          <w:szCs w:val="32"/>
        </w:rPr>
        <w:t>（7）</w:t>
      </w:r>
      <w:r>
        <w:rPr>
          <w:rFonts w:hint="eastAsia" w:ascii="仿宋_GB2312" w:eastAsia="仿宋_GB2312"/>
          <w:sz w:val="32"/>
          <w:szCs w:val="32"/>
        </w:rPr>
        <w:t>《</w:t>
      </w:r>
      <w:r>
        <w:rPr>
          <w:rFonts w:hint="eastAsia" w:ascii="仿宋_GB2312" w:eastAsia="仿宋_GB2312"/>
          <w:w w:val="105"/>
          <w:sz w:val="32"/>
          <w:szCs w:val="32"/>
        </w:rPr>
        <w:t>省财政厅关于印发</w:t>
      </w:r>
      <w:r>
        <w:rPr>
          <w:rFonts w:hint="eastAsia" w:ascii="仿宋_GB2312" w:eastAsia="仿宋_GB2312"/>
          <w:sz w:val="32"/>
          <w:szCs w:val="32"/>
        </w:rPr>
        <w:t>〈贵州省预算绩效管理实施办法〉的通知》（黔财绩</w:t>
      </w:r>
      <w:r>
        <w:rPr>
          <w:rFonts w:hint="eastAsia" w:ascii="仿宋_GB2312" w:hAnsi="仿宋" w:eastAsia="仿宋_GB2312"/>
          <w:sz w:val="32"/>
          <w:szCs w:val="32"/>
        </w:rPr>
        <w:t>〔</w:t>
      </w:r>
      <w:r>
        <w:rPr>
          <w:rFonts w:hint="eastAsia" w:ascii="仿宋_GB2312" w:eastAsia="仿宋_GB2312"/>
          <w:sz w:val="32"/>
          <w:szCs w:val="32"/>
        </w:rPr>
        <w:t>2020</w:t>
      </w:r>
      <w:r>
        <w:rPr>
          <w:rFonts w:hint="eastAsia" w:ascii="仿宋_GB2312" w:hAnsi="仿宋" w:eastAsia="仿宋_GB2312"/>
          <w:sz w:val="32"/>
          <w:szCs w:val="32"/>
        </w:rPr>
        <w:t>〕</w:t>
      </w:r>
      <w:r>
        <w:rPr>
          <w:rFonts w:hint="eastAsia" w:ascii="仿宋_GB2312" w:eastAsia="仿宋_GB2312"/>
          <w:sz w:val="32"/>
          <w:szCs w:val="32"/>
        </w:rPr>
        <w:t>5号）；</w:t>
      </w:r>
    </w:p>
    <w:p>
      <w:pPr>
        <w:pStyle w:val="20"/>
        <w:widowControl w:val="0"/>
        <w:adjustRightIn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（8）《贵州省省级部门预算支出绩效目标管理实施办法》的通知（黔财绩〔2020〕8号）。</w:t>
      </w:r>
    </w:p>
    <w:p>
      <w:pPr>
        <w:pStyle w:val="20"/>
        <w:adjustRightInd w:val="0"/>
        <w:snapToGrid w:val="0"/>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3.资金及项目管理制度</w:t>
      </w:r>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（1）《贵州省省级财政专项资金管理办法和贵州省省级财政资金审批管理办法（暂行）》（黔府办发〔2012〕34号）；</w:t>
      </w:r>
    </w:p>
    <w:p>
      <w:pPr>
        <w:pStyle w:val="20"/>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（2）《贵州省级财政专项资金管理实施细则（试行）》（黔财预〔2015〕63号）；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（3）《关于印发&lt;贵州省工业和信息化发展专项资金管理办法&gt;的通知》（黔财工〔2019〕78号）；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（4）《关于进一步促进民营经济发展的政策措施》的通知（黔党发〔2018〕29号）；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（5）《省人民政府关于推进工业园区健康发展的指导意见》（黔府发〔2018〕30号）；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（6）《推进产业园区工业高质量发展综合考评办法》（黔经信园区〔2018〕13号）；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（7）《省人民政府办公厅关于印发贵州省市场主体培育“四转”工程实施方案的通知》（黔府办函〔2018〕115号）；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（8）《省工业和信息化厅关于做好2019年省工业和信息化发展专项资金申报工作的通知》（黔工信规划〔2019〕3号）；</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（9）《贵州省中小企业促进条例》《“中小企业星光培训工程”计划的通知》《省工业和信息化发展专项资金预算绩效管理方案》等规定。</w:t>
      </w:r>
    </w:p>
    <w:p>
      <w:pPr>
        <w:pStyle w:val="20"/>
        <w:adjustRightInd w:val="0"/>
        <w:snapToGrid w:val="0"/>
        <w:spacing w:before="0" w:beforeAutospacing="0" w:after="0" w:afterAutospacing="0" w:line="56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4.部门相关资料</w:t>
      </w:r>
    </w:p>
    <w:p>
      <w:pPr>
        <w:autoSpaceDE w:val="0"/>
        <w:autoSpaceDN w:val="0"/>
        <w:adjustRightInd w:val="0"/>
        <w:spacing w:line="560" w:lineRule="exact"/>
        <w:ind w:firstLine="640" w:firstLineChars="200"/>
        <w:jc w:val="left"/>
        <w:rPr>
          <w:rFonts w:ascii="仿宋_GB2312" w:hAnsi="宋体"/>
          <w:sz w:val="32"/>
          <w:szCs w:val="32"/>
        </w:rPr>
      </w:pPr>
      <w:r>
        <w:rPr>
          <w:rFonts w:hint="eastAsia" w:ascii="仿宋_GB2312" w:hAnsi="宋体"/>
          <w:sz w:val="32"/>
          <w:szCs w:val="32"/>
        </w:rPr>
        <w:t>（1）贵州省工业和信息化厅职能、中长期发展规划、年度工作计划、项目设立依据、绩效目标、预算批复、资金及项目管理办法、项目内容调整和预算调整的相关申请和批复等；</w:t>
      </w:r>
    </w:p>
    <w:p>
      <w:pPr>
        <w:autoSpaceDE w:val="0"/>
        <w:autoSpaceDN w:val="0"/>
        <w:adjustRightInd w:val="0"/>
        <w:spacing w:line="560" w:lineRule="exact"/>
        <w:ind w:firstLine="640" w:firstLineChars="200"/>
        <w:jc w:val="left"/>
        <w:rPr>
          <w:rFonts w:ascii="仿宋_GB2312" w:hAnsi="宋体"/>
          <w:sz w:val="32"/>
          <w:szCs w:val="32"/>
        </w:rPr>
      </w:pPr>
      <w:r>
        <w:rPr>
          <w:rFonts w:hint="eastAsia" w:ascii="仿宋_GB2312" w:hAnsi="宋体"/>
          <w:sz w:val="32"/>
          <w:szCs w:val="32"/>
        </w:rPr>
        <w:t>（2）项目申报、立项、评审资料，项目执行情况报告，项目验收报告等；</w:t>
      </w:r>
    </w:p>
    <w:p>
      <w:pPr>
        <w:spacing w:line="560" w:lineRule="exact"/>
        <w:ind w:firstLine="640" w:firstLineChars="200"/>
        <w:rPr>
          <w:rFonts w:ascii="仿宋_GB2312" w:hAnsi="仿宋"/>
          <w:sz w:val="32"/>
          <w:szCs w:val="32"/>
        </w:rPr>
      </w:pPr>
      <w:r>
        <w:rPr>
          <w:rFonts w:hint="eastAsia" w:ascii="仿宋_GB2312" w:hAnsi="仿宋"/>
          <w:sz w:val="32"/>
          <w:szCs w:val="32"/>
        </w:rPr>
        <w:t>（3）省工信厅专项资金业务管理处（室）、市（州）工信主管部门提交的绩效自评表等资料。</w:t>
      </w:r>
    </w:p>
    <w:p>
      <w:pPr>
        <w:autoSpaceDE w:val="0"/>
        <w:autoSpaceDN w:val="0"/>
        <w:adjustRightInd w:val="0"/>
        <w:spacing w:line="560" w:lineRule="exact"/>
        <w:ind w:firstLine="640" w:firstLineChars="200"/>
        <w:jc w:val="left"/>
        <w:rPr>
          <w:rFonts w:ascii="仿宋_GB2312" w:hAnsi="宋体"/>
          <w:sz w:val="32"/>
          <w:szCs w:val="32"/>
        </w:rPr>
      </w:pPr>
      <w:r>
        <w:rPr>
          <w:rFonts w:hint="eastAsia" w:ascii="仿宋_GB2312" w:hAnsi="宋体"/>
          <w:sz w:val="32"/>
          <w:szCs w:val="32"/>
        </w:rPr>
        <w:t>（4）其他与项目决策、过程、产出和效果有关的资料。</w:t>
      </w:r>
    </w:p>
    <w:p>
      <w:pPr>
        <w:spacing w:line="560" w:lineRule="exact"/>
        <w:ind w:firstLine="664" w:firstLineChars="200"/>
        <w:outlineLvl w:val="1"/>
        <w:rPr>
          <w:rFonts w:ascii="楷体_GB2312" w:eastAsia="楷体_GB2312"/>
          <w:spacing w:val="6"/>
          <w:sz w:val="32"/>
          <w:szCs w:val="32"/>
        </w:rPr>
      </w:pPr>
      <w:bookmarkStart w:id="149" w:name="_Toc40873774"/>
      <w:bookmarkStart w:id="150" w:name="_Toc41420796"/>
      <w:bookmarkStart w:id="151" w:name="_Toc527805300"/>
      <w:bookmarkStart w:id="152" w:name="_Toc41419926"/>
      <w:r>
        <w:rPr>
          <w:rFonts w:hint="eastAsia" w:ascii="楷体_GB2312" w:eastAsia="楷体_GB2312"/>
          <w:spacing w:val="6"/>
          <w:sz w:val="32"/>
          <w:szCs w:val="32"/>
        </w:rPr>
        <w:t>（二）绩效评价工作程序</w:t>
      </w:r>
      <w:bookmarkEnd w:id="149"/>
      <w:bookmarkEnd w:id="150"/>
      <w:bookmarkEnd w:id="151"/>
      <w:bookmarkEnd w:id="152"/>
    </w:p>
    <w:p>
      <w:pPr>
        <w:spacing w:line="560" w:lineRule="exact"/>
        <w:ind w:firstLine="640" w:firstLineChars="200"/>
        <w:rPr>
          <w:rFonts w:ascii="仿宋_GB2312" w:hAnsi="仿宋"/>
          <w:sz w:val="32"/>
          <w:szCs w:val="32"/>
        </w:rPr>
      </w:pPr>
      <w:r>
        <w:rPr>
          <w:rFonts w:hint="eastAsia" w:ascii="仿宋_GB2312" w:hAnsi="仿宋"/>
          <w:sz w:val="32"/>
          <w:szCs w:val="32"/>
        </w:rPr>
        <w:t>本次绩效评价工作包括三个阶段：准备工作阶段、评价实施阶段、报告撰写和提交阶段。</w:t>
      </w:r>
    </w:p>
    <w:p>
      <w:pPr>
        <w:spacing w:line="560" w:lineRule="exact"/>
        <w:ind w:firstLine="640" w:firstLineChars="200"/>
        <w:jc w:val="left"/>
        <w:rPr>
          <w:rFonts w:ascii="仿宋_GB2312" w:hAnsi="仿宋"/>
          <w:sz w:val="32"/>
          <w:szCs w:val="32"/>
        </w:rPr>
      </w:pPr>
      <w:r>
        <w:rPr>
          <w:rFonts w:ascii="仿宋_GB2312" w:hAnsi="仿宋"/>
          <w:sz w:val="32"/>
          <w:szCs w:val="32"/>
        </w:rPr>
        <w:t>1.准备阶段。成立绩效评价</w:t>
      </w:r>
      <w:r>
        <w:rPr>
          <w:rFonts w:hint="eastAsia" w:ascii="仿宋_GB2312" w:hAnsi="仿宋"/>
          <w:sz w:val="32"/>
          <w:szCs w:val="32"/>
        </w:rPr>
        <w:t>工作</w:t>
      </w:r>
      <w:r>
        <w:rPr>
          <w:rFonts w:ascii="仿宋_GB2312" w:hAnsi="仿宋"/>
          <w:sz w:val="32"/>
          <w:szCs w:val="32"/>
        </w:rPr>
        <w:t>组，完成基础资料搜集和整理，拟定项目实施方案，并根据项目要求不断完善指标体系和调查问卷设计工作。该项工作在</w:t>
      </w:r>
      <w:r>
        <w:rPr>
          <w:rFonts w:hint="eastAsia" w:ascii="仿宋_GB2312" w:hAnsi="仿宋"/>
          <w:sz w:val="32"/>
          <w:szCs w:val="32"/>
        </w:rPr>
        <w:t>4</w:t>
      </w:r>
      <w:r>
        <w:rPr>
          <w:rFonts w:ascii="仿宋_GB2312" w:hAnsi="仿宋"/>
          <w:sz w:val="32"/>
          <w:szCs w:val="32"/>
        </w:rPr>
        <w:t>月</w:t>
      </w:r>
      <w:r>
        <w:rPr>
          <w:rFonts w:hint="eastAsia" w:ascii="仿宋_GB2312" w:hAnsi="仿宋"/>
          <w:sz w:val="32"/>
          <w:szCs w:val="32"/>
        </w:rPr>
        <w:t>10</w:t>
      </w:r>
      <w:r>
        <w:rPr>
          <w:rFonts w:ascii="仿宋_GB2312" w:hAnsi="仿宋"/>
          <w:sz w:val="32"/>
          <w:szCs w:val="32"/>
        </w:rPr>
        <w:t>日前完成。</w:t>
      </w:r>
    </w:p>
    <w:p>
      <w:pPr>
        <w:spacing w:line="560" w:lineRule="exact"/>
        <w:ind w:firstLine="640" w:firstLineChars="200"/>
        <w:jc w:val="left"/>
        <w:rPr>
          <w:rFonts w:ascii="仿宋_GB2312" w:hAnsi="仿宋"/>
          <w:sz w:val="32"/>
          <w:szCs w:val="32"/>
        </w:rPr>
      </w:pPr>
      <w:r>
        <w:rPr>
          <w:rFonts w:ascii="仿宋_GB2312" w:hAnsi="仿宋"/>
          <w:sz w:val="32"/>
          <w:szCs w:val="32"/>
        </w:rPr>
        <w:t>2.</w:t>
      </w:r>
      <w:r>
        <w:rPr>
          <w:rFonts w:hint="eastAsia" w:ascii="仿宋_GB2312" w:hAnsi="仿宋"/>
          <w:sz w:val="32"/>
          <w:szCs w:val="32"/>
        </w:rPr>
        <w:t>评价实施阶段</w:t>
      </w:r>
      <w:r>
        <w:rPr>
          <w:rFonts w:ascii="仿宋_GB2312" w:hAnsi="仿宋"/>
          <w:sz w:val="32"/>
          <w:szCs w:val="32"/>
        </w:rPr>
        <w:t>。（1）</w:t>
      </w:r>
      <w:r>
        <w:rPr>
          <w:rFonts w:hint="eastAsia" w:ascii="仿宋_GB2312" w:hAnsi="仿宋"/>
          <w:sz w:val="32"/>
          <w:szCs w:val="32"/>
        </w:rPr>
        <w:t>发布专项资金绩效评价通知。由省工信厅规划处向涉及专项资金管理职责的处室及市（州）工信主管部门发布专项资金绩效评价通知；（2）请专项资金业务管理处（室）、市州经信（工信、工能）主管部门、贵安新区经发局撰写《2019年度贵州省工业和信息化发展专项资金绩效自评报告》；（3）由专项资金业务管理处（室）、市州经信（工信、工能）主管部门、贵安新区经发局通知项目实施单位填报满意度调查问卷电子档，并要求于4月24日前汇总提交工信厅规划处</w:t>
      </w:r>
      <w:r>
        <w:rPr>
          <w:rFonts w:ascii="仿宋_GB2312" w:hAnsi="仿宋"/>
          <w:sz w:val="32"/>
          <w:szCs w:val="32"/>
        </w:rPr>
        <w:t>；（</w:t>
      </w:r>
      <w:r>
        <w:rPr>
          <w:rFonts w:hint="eastAsia" w:ascii="仿宋_GB2312" w:hAnsi="仿宋"/>
          <w:sz w:val="32"/>
          <w:szCs w:val="32"/>
        </w:rPr>
        <w:t>4</w:t>
      </w:r>
      <w:r>
        <w:rPr>
          <w:rFonts w:ascii="仿宋_GB2312" w:hAnsi="仿宋"/>
          <w:sz w:val="32"/>
          <w:szCs w:val="32"/>
        </w:rPr>
        <w:t>）现场调查工作采取</w:t>
      </w:r>
      <w:r>
        <w:rPr>
          <w:rFonts w:hint="eastAsia" w:ascii="仿宋_GB2312" w:hAnsi="仿宋"/>
          <w:sz w:val="32"/>
          <w:szCs w:val="32"/>
        </w:rPr>
        <w:t>线上核查与线下实地核查相结合的方式</w:t>
      </w:r>
      <w:r>
        <w:rPr>
          <w:rFonts w:ascii="仿宋_GB2312" w:hAnsi="仿宋"/>
          <w:sz w:val="32"/>
          <w:szCs w:val="32"/>
        </w:rPr>
        <w:t>，突出重点，力求实效，工作组提前2日通知被</w:t>
      </w:r>
      <w:r>
        <w:rPr>
          <w:rFonts w:hint="eastAsia" w:ascii="仿宋_GB2312" w:hAnsi="仿宋"/>
          <w:sz w:val="32"/>
          <w:szCs w:val="32"/>
        </w:rPr>
        <w:t>实地核查</w:t>
      </w:r>
      <w:r>
        <w:rPr>
          <w:rFonts w:ascii="仿宋_GB2312" w:hAnsi="仿宋"/>
          <w:sz w:val="32"/>
          <w:szCs w:val="32"/>
        </w:rPr>
        <w:t>单位，被</w:t>
      </w:r>
      <w:r>
        <w:rPr>
          <w:rFonts w:hint="eastAsia" w:ascii="仿宋_GB2312" w:hAnsi="仿宋"/>
          <w:sz w:val="32"/>
          <w:szCs w:val="32"/>
        </w:rPr>
        <w:t>核查</w:t>
      </w:r>
      <w:r>
        <w:rPr>
          <w:rFonts w:ascii="仿宋_GB2312" w:hAnsi="仿宋"/>
          <w:sz w:val="32"/>
          <w:szCs w:val="32"/>
        </w:rPr>
        <w:t>单位须根据</w:t>
      </w:r>
      <w:r>
        <w:rPr>
          <w:rFonts w:hint="eastAsia" w:ascii="仿宋_GB2312" w:hAnsi="仿宋"/>
          <w:sz w:val="32"/>
          <w:szCs w:val="32"/>
        </w:rPr>
        <w:t>工作组提供的</w:t>
      </w:r>
      <w:r>
        <w:rPr>
          <w:rFonts w:ascii="仿宋_GB2312" w:hAnsi="仿宋"/>
          <w:sz w:val="32"/>
          <w:szCs w:val="32"/>
        </w:rPr>
        <w:t>资料清单提前准备相关材料以备工作组核阅。</w:t>
      </w:r>
      <w:r>
        <w:rPr>
          <w:rFonts w:hint="eastAsia" w:ascii="仿宋_GB2312" w:hAnsi="仿宋"/>
          <w:sz w:val="32"/>
          <w:szCs w:val="32"/>
        </w:rPr>
        <w:t>上述</w:t>
      </w:r>
      <w:r>
        <w:rPr>
          <w:rFonts w:ascii="仿宋_GB2312" w:hAnsi="仿宋"/>
          <w:sz w:val="32"/>
          <w:szCs w:val="32"/>
        </w:rPr>
        <w:t>各工作项同步</w:t>
      </w:r>
      <w:r>
        <w:rPr>
          <w:rFonts w:hint="eastAsia" w:ascii="仿宋_GB2312" w:hAnsi="仿宋"/>
          <w:sz w:val="32"/>
          <w:szCs w:val="32"/>
        </w:rPr>
        <w:t>穿插</w:t>
      </w:r>
      <w:r>
        <w:rPr>
          <w:rFonts w:ascii="仿宋_GB2312" w:hAnsi="仿宋"/>
          <w:sz w:val="32"/>
          <w:szCs w:val="32"/>
        </w:rPr>
        <w:t>进行，</w:t>
      </w:r>
      <w:r>
        <w:rPr>
          <w:rFonts w:hint="eastAsia" w:ascii="仿宋_GB2312" w:hAnsi="仿宋"/>
          <w:sz w:val="32"/>
          <w:szCs w:val="32"/>
        </w:rPr>
        <w:t>该项工作</w:t>
      </w:r>
      <w:r>
        <w:rPr>
          <w:rFonts w:ascii="仿宋_GB2312" w:hAnsi="仿宋"/>
          <w:sz w:val="32"/>
          <w:szCs w:val="32"/>
        </w:rPr>
        <w:t>在</w:t>
      </w:r>
      <w:r>
        <w:rPr>
          <w:rFonts w:hint="eastAsia" w:ascii="仿宋_GB2312" w:hAnsi="仿宋"/>
          <w:sz w:val="32"/>
          <w:szCs w:val="32"/>
        </w:rPr>
        <w:t>4</w:t>
      </w:r>
      <w:r>
        <w:rPr>
          <w:rFonts w:ascii="仿宋_GB2312" w:hAnsi="仿宋"/>
          <w:sz w:val="32"/>
          <w:szCs w:val="32"/>
        </w:rPr>
        <w:t>月</w:t>
      </w:r>
      <w:r>
        <w:rPr>
          <w:rFonts w:hint="eastAsia" w:ascii="仿宋_GB2312" w:hAnsi="仿宋"/>
          <w:sz w:val="32"/>
          <w:szCs w:val="32"/>
        </w:rPr>
        <w:t>24</w:t>
      </w:r>
      <w:r>
        <w:rPr>
          <w:rFonts w:ascii="仿宋_GB2312" w:hAnsi="仿宋"/>
          <w:sz w:val="32"/>
          <w:szCs w:val="32"/>
        </w:rPr>
        <w:t>日前完成。</w:t>
      </w:r>
    </w:p>
    <w:p>
      <w:pPr>
        <w:spacing w:line="560" w:lineRule="exact"/>
        <w:ind w:firstLine="640" w:firstLineChars="200"/>
        <w:jc w:val="left"/>
        <w:rPr>
          <w:rFonts w:ascii="仿宋_GB2312" w:hAnsi="宋体"/>
          <w:spacing w:val="6"/>
          <w:sz w:val="32"/>
          <w:szCs w:val="32"/>
        </w:rPr>
      </w:pPr>
      <w:r>
        <w:rPr>
          <w:rFonts w:ascii="仿宋_GB2312" w:hAnsi="仿宋"/>
          <w:sz w:val="32"/>
          <w:szCs w:val="32"/>
        </w:rPr>
        <w:t>3.报告撰写</w:t>
      </w:r>
      <w:r>
        <w:rPr>
          <w:rFonts w:hint="eastAsia" w:ascii="仿宋_GB2312" w:hAnsi="仿宋"/>
          <w:sz w:val="32"/>
          <w:szCs w:val="32"/>
        </w:rPr>
        <w:t>和提交</w:t>
      </w:r>
      <w:r>
        <w:rPr>
          <w:rFonts w:ascii="仿宋_GB2312" w:hAnsi="仿宋"/>
          <w:sz w:val="32"/>
          <w:szCs w:val="32"/>
        </w:rPr>
        <w:t>阶段。工作组对调查问卷和资料进行</w:t>
      </w:r>
      <w:r>
        <w:rPr>
          <w:rFonts w:hint="eastAsia" w:ascii="仿宋_GB2312" w:hAnsi="仿宋"/>
          <w:sz w:val="32"/>
          <w:szCs w:val="32"/>
        </w:rPr>
        <w:t>统计</w:t>
      </w:r>
      <w:r>
        <w:rPr>
          <w:rFonts w:ascii="仿宋_GB2312" w:hAnsi="仿宋"/>
          <w:sz w:val="32"/>
          <w:szCs w:val="32"/>
        </w:rPr>
        <w:t>、</w:t>
      </w:r>
      <w:r>
        <w:rPr>
          <w:rFonts w:hint="eastAsia" w:ascii="仿宋_GB2312" w:hAnsi="仿宋"/>
          <w:sz w:val="32"/>
          <w:szCs w:val="32"/>
        </w:rPr>
        <w:t>整</w:t>
      </w:r>
      <w:r>
        <w:rPr>
          <w:rFonts w:ascii="仿宋_GB2312" w:hAnsi="仿宋"/>
          <w:sz w:val="32"/>
          <w:szCs w:val="32"/>
        </w:rPr>
        <w:t>理</w:t>
      </w:r>
      <w:r>
        <w:rPr>
          <w:rFonts w:hint="eastAsia" w:ascii="仿宋_GB2312" w:hAnsi="仿宋"/>
          <w:sz w:val="32"/>
          <w:szCs w:val="32"/>
        </w:rPr>
        <w:t>、</w:t>
      </w:r>
      <w:r>
        <w:rPr>
          <w:rFonts w:ascii="仿宋_GB2312" w:hAnsi="仿宋"/>
          <w:sz w:val="32"/>
          <w:szCs w:val="32"/>
        </w:rPr>
        <w:t>分析</w:t>
      </w:r>
      <w:r>
        <w:rPr>
          <w:rFonts w:hint="eastAsia" w:ascii="仿宋_GB2312" w:hAnsi="仿宋"/>
          <w:sz w:val="32"/>
          <w:szCs w:val="32"/>
        </w:rPr>
        <w:t>和总结</w:t>
      </w:r>
      <w:r>
        <w:rPr>
          <w:rFonts w:ascii="仿宋_GB2312" w:hAnsi="仿宋"/>
          <w:sz w:val="32"/>
          <w:szCs w:val="32"/>
        </w:rPr>
        <w:t>，撰写《</w:t>
      </w:r>
      <w:r>
        <w:rPr>
          <w:rFonts w:hint="eastAsia" w:ascii="仿宋_GB2312" w:hAnsi="仿宋"/>
          <w:sz w:val="32"/>
          <w:szCs w:val="32"/>
        </w:rPr>
        <w:t>贵州省工业和信息化厅</w:t>
      </w:r>
      <w:r>
        <w:rPr>
          <w:rFonts w:ascii="仿宋_GB2312" w:hAnsi="仿宋"/>
          <w:sz w:val="32"/>
          <w:szCs w:val="32"/>
        </w:rPr>
        <w:t>2019</w:t>
      </w:r>
      <w:r>
        <w:rPr>
          <w:rFonts w:hint="eastAsia" w:ascii="仿宋_GB2312" w:hAnsi="仿宋"/>
          <w:sz w:val="32"/>
          <w:szCs w:val="32"/>
        </w:rPr>
        <w:t>年度贵州省工业和信息化发展专项资金绩效评价报告</w:t>
      </w:r>
      <w:r>
        <w:rPr>
          <w:rFonts w:ascii="仿宋_GB2312" w:hAnsi="仿宋"/>
          <w:sz w:val="32"/>
          <w:szCs w:val="32"/>
        </w:rPr>
        <w:t>》（以下简称“报告”）。</w:t>
      </w:r>
      <w:r>
        <w:rPr>
          <w:rFonts w:hint="eastAsia" w:ascii="仿宋_GB2312" w:hAnsi="仿宋"/>
          <w:sz w:val="32"/>
          <w:szCs w:val="32"/>
        </w:rPr>
        <w:t>《报告》</w:t>
      </w:r>
      <w:r>
        <w:rPr>
          <w:rFonts w:hint="eastAsia" w:ascii="仿宋_GB2312" w:hAnsi="宋体"/>
          <w:sz w:val="32"/>
          <w:szCs w:val="32"/>
        </w:rPr>
        <w:t>经公司内部三级审核，</w:t>
      </w:r>
      <w:r>
        <w:rPr>
          <w:rFonts w:hint="eastAsia" w:ascii="仿宋_GB2312" w:hAnsi="仿宋" w:cs="仿宋_GB2312"/>
          <w:sz w:val="32"/>
          <w:szCs w:val="32"/>
        </w:rPr>
        <w:t>于2020年5月20日前提交</w:t>
      </w:r>
      <w:r>
        <w:rPr>
          <w:rFonts w:hint="eastAsia" w:ascii="仿宋_GB2312" w:hAnsi="宋体"/>
          <w:sz w:val="32"/>
          <w:szCs w:val="32"/>
        </w:rPr>
        <w:t>省</w:t>
      </w:r>
      <w:r>
        <w:rPr>
          <w:rFonts w:hint="eastAsia"/>
          <w:sz w:val="32"/>
          <w:szCs w:val="32"/>
        </w:rPr>
        <w:t>工信厅，</w:t>
      </w:r>
      <w:r>
        <w:rPr>
          <w:rFonts w:hint="eastAsia" w:ascii="仿宋_GB2312" w:hAnsi="宋体"/>
          <w:sz w:val="32"/>
          <w:szCs w:val="32"/>
        </w:rPr>
        <w:t>征求相关处室意见后，出具并提交正式《报告》。</w:t>
      </w:r>
    </w:p>
    <w:p>
      <w:pPr>
        <w:spacing w:line="560" w:lineRule="exact"/>
        <w:ind w:firstLine="664" w:firstLineChars="200"/>
        <w:outlineLvl w:val="1"/>
        <w:rPr>
          <w:rFonts w:ascii="楷体_GB2312" w:eastAsia="楷体_GB2312"/>
          <w:spacing w:val="6"/>
          <w:sz w:val="32"/>
          <w:szCs w:val="32"/>
        </w:rPr>
      </w:pPr>
      <w:bookmarkStart w:id="153" w:name="_Toc40873775"/>
      <w:bookmarkStart w:id="154" w:name="_Toc41419927"/>
      <w:bookmarkStart w:id="155" w:name="_Toc41420797"/>
      <w:r>
        <w:rPr>
          <w:rFonts w:hint="eastAsia" w:ascii="楷体_GB2312" w:eastAsia="楷体_GB2312"/>
          <w:spacing w:val="6"/>
          <w:sz w:val="32"/>
          <w:szCs w:val="32"/>
        </w:rPr>
        <w:t>（三）绩效评价方法、标准与结果等级</w:t>
      </w:r>
      <w:bookmarkEnd w:id="153"/>
      <w:bookmarkEnd w:id="154"/>
      <w:bookmarkEnd w:id="155"/>
    </w:p>
    <w:p>
      <w:pPr>
        <w:spacing w:line="560" w:lineRule="exact"/>
        <w:ind w:firstLine="664" w:firstLineChars="200"/>
        <w:rPr>
          <w:rFonts w:ascii="仿宋_GB2312"/>
          <w:spacing w:val="6"/>
          <w:sz w:val="32"/>
          <w:szCs w:val="32"/>
        </w:rPr>
      </w:pPr>
      <w:r>
        <w:rPr>
          <w:rFonts w:hint="eastAsia" w:ascii="仿宋_GB2312"/>
          <w:spacing w:val="6"/>
          <w:sz w:val="32"/>
          <w:szCs w:val="32"/>
        </w:rPr>
        <w:t>本次绩效评价</w:t>
      </w:r>
      <w:r>
        <w:rPr>
          <w:rFonts w:ascii="仿宋_GB2312"/>
          <w:spacing w:val="6"/>
          <w:sz w:val="32"/>
          <w:szCs w:val="32"/>
        </w:rPr>
        <w:t>采用定量与定性相结合</w:t>
      </w:r>
      <w:r>
        <w:rPr>
          <w:rFonts w:hint="eastAsia" w:ascii="仿宋_GB2312"/>
          <w:spacing w:val="6"/>
          <w:sz w:val="32"/>
          <w:szCs w:val="32"/>
        </w:rPr>
        <w:t>、线上调查与实地踏勘</w:t>
      </w:r>
      <w:r>
        <w:rPr>
          <w:rFonts w:ascii="仿宋_GB2312"/>
          <w:spacing w:val="6"/>
          <w:sz w:val="32"/>
          <w:szCs w:val="32"/>
        </w:rPr>
        <w:t>相结合，</w:t>
      </w:r>
      <w:r>
        <w:rPr>
          <w:rFonts w:hint="eastAsia" w:ascii="仿宋_GB2312"/>
          <w:spacing w:val="6"/>
          <w:sz w:val="32"/>
          <w:szCs w:val="32"/>
        </w:rPr>
        <w:t>综合运用</w:t>
      </w:r>
      <w:r>
        <w:rPr>
          <w:rFonts w:hint="eastAsia" w:ascii="仿宋_GB2312" w:cs="宋体"/>
          <w:kern w:val="0"/>
          <w:sz w:val="32"/>
          <w:szCs w:val="32"/>
        </w:rPr>
        <w:t>成本效益分析法、比较法、因素分析法、最低成本法、公众评判法、标杆管理法等方法</w:t>
      </w:r>
      <w:r>
        <w:rPr>
          <w:rFonts w:ascii="仿宋_GB2312"/>
          <w:spacing w:val="6"/>
          <w:sz w:val="32"/>
          <w:szCs w:val="32"/>
        </w:rPr>
        <w:t>，科学</w:t>
      </w:r>
      <w:r>
        <w:rPr>
          <w:rFonts w:hint="eastAsia" w:ascii="仿宋_GB2312"/>
          <w:spacing w:val="6"/>
          <w:sz w:val="32"/>
          <w:szCs w:val="32"/>
        </w:rPr>
        <w:t>合理</w:t>
      </w:r>
      <w:r>
        <w:rPr>
          <w:rFonts w:ascii="仿宋_GB2312"/>
          <w:spacing w:val="6"/>
          <w:sz w:val="32"/>
          <w:szCs w:val="32"/>
        </w:rPr>
        <w:t>的反映</w:t>
      </w:r>
      <w:r>
        <w:rPr>
          <w:rFonts w:hint="eastAsia" w:ascii="仿宋_GB2312"/>
          <w:spacing w:val="6"/>
          <w:sz w:val="32"/>
          <w:szCs w:val="32"/>
        </w:rPr>
        <w:t>专项资金</w:t>
      </w:r>
      <w:r>
        <w:rPr>
          <w:rFonts w:ascii="仿宋_GB2312"/>
          <w:spacing w:val="6"/>
          <w:sz w:val="32"/>
          <w:szCs w:val="32"/>
        </w:rPr>
        <w:t>综合绩效情况。</w:t>
      </w:r>
    </w:p>
    <w:p>
      <w:pPr>
        <w:spacing w:line="560" w:lineRule="exact"/>
        <w:ind w:firstLine="664" w:firstLineChars="200"/>
        <w:rPr>
          <w:rFonts w:ascii="仿宋_GB2312" w:hAnsi="宋体"/>
          <w:sz w:val="32"/>
          <w:szCs w:val="32"/>
        </w:rPr>
      </w:pPr>
      <w:r>
        <w:rPr>
          <w:rFonts w:hint="eastAsia" w:ascii="仿宋_GB2312"/>
          <w:spacing w:val="6"/>
          <w:sz w:val="32"/>
          <w:szCs w:val="32"/>
        </w:rPr>
        <w:t>评价中充分应用计划标准、行业标准、历史标准和</w:t>
      </w:r>
      <w:r>
        <w:rPr>
          <w:rFonts w:hint="eastAsia" w:ascii="仿宋_GB2312" w:hAnsi="宋体"/>
          <w:sz w:val="32"/>
          <w:szCs w:val="32"/>
        </w:rPr>
        <w:t>财政部门和预算部门确认或认可的其他标准发。</w:t>
      </w:r>
    </w:p>
    <w:p>
      <w:pPr>
        <w:spacing w:line="560" w:lineRule="exact"/>
        <w:ind w:firstLine="640" w:firstLineChars="200"/>
        <w:rPr>
          <w:rFonts w:ascii="仿宋_GB2312"/>
          <w:spacing w:val="6"/>
          <w:sz w:val="32"/>
          <w:szCs w:val="32"/>
        </w:rPr>
      </w:pPr>
      <w:r>
        <w:rPr>
          <w:rFonts w:hint="eastAsia" w:ascii="仿宋_GB2312" w:hAnsi="仿宋"/>
          <w:sz w:val="32"/>
          <w:szCs w:val="32"/>
        </w:rPr>
        <w:t>根据《</w:t>
      </w:r>
      <w:r>
        <w:rPr>
          <w:rFonts w:hint="eastAsia" w:ascii="仿宋_GB2312" w:cs="宋体" w:hAnsiTheme="minorEastAsia"/>
          <w:kern w:val="0"/>
          <w:sz w:val="32"/>
          <w:szCs w:val="32"/>
        </w:rPr>
        <w:t>财政部关于印发</w:t>
      </w:r>
      <w:r>
        <w:rPr>
          <w:rFonts w:ascii="仿宋_GB2312" w:cs="宋体" w:hAnsiTheme="minorEastAsia"/>
          <w:kern w:val="0"/>
          <w:sz w:val="32"/>
          <w:szCs w:val="32"/>
        </w:rPr>
        <w:t>&lt;</w:t>
      </w:r>
      <w:r>
        <w:rPr>
          <w:rFonts w:hint="eastAsia" w:ascii="仿宋_GB2312" w:cs="宋体" w:hAnsiTheme="minorEastAsia"/>
          <w:kern w:val="0"/>
          <w:sz w:val="32"/>
          <w:szCs w:val="32"/>
        </w:rPr>
        <w:t>项目支出绩效管理办法</w:t>
      </w:r>
      <w:r>
        <w:rPr>
          <w:rFonts w:ascii="仿宋_GB2312" w:cs="宋体" w:hAnsiTheme="minorEastAsia"/>
          <w:kern w:val="0"/>
          <w:sz w:val="32"/>
          <w:szCs w:val="32"/>
        </w:rPr>
        <w:t>&gt;</w:t>
      </w:r>
      <w:r>
        <w:rPr>
          <w:rFonts w:hint="eastAsia" w:ascii="仿宋_GB2312" w:cs="宋体" w:hAnsiTheme="minorEastAsia"/>
          <w:kern w:val="0"/>
          <w:sz w:val="32"/>
          <w:szCs w:val="32"/>
        </w:rPr>
        <w:t>的通知》（财预</w:t>
      </w:r>
      <w:r>
        <w:rPr>
          <w:rFonts w:hint="eastAsia" w:ascii="宋体" w:hAnsi="宋体" w:eastAsia="宋体" w:cs="宋体"/>
          <w:kern w:val="0"/>
          <w:sz w:val="32"/>
          <w:szCs w:val="32"/>
        </w:rPr>
        <w:t>﹝</w:t>
      </w:r>
      <w:r>
        <w:rPr>
          <w:rFonts w:ascii="仿宋_GB2312" w:cs="宋体" w:hAnsiTheme="minorEastAsia"/>
          <w:kern w:val="0"/>
          <w:sz w:val="32"/>
          <w:szCs w:val="32"/>
        </w:rPr>
        <w:t>2020</w:t>
      </w:r>
      <w:r>
        <w:rPr>
          <w:rFonts w:hint="eastAsia" w:ascii="宋体" w:hAnsi="宋体" w:eastAsia="宋体" w:cs="宋体"/>
          <w:kern w:val="0"/>
          <w:sz w:val="32"/>
          <w:szCs w:val="32"/>
        </w:rPr>
        <w:t>﹞</w:t>
      </w:r>
      <w:r>
        <w:rPr>
          <w:rFonts w:ascii="仿宋_GB2312" w:cs="宋体" w:hAnsiTheme="minorEastAsia"/>
          <w:kern w:val="0"/>
          <w:sz w:val="32"/>
          <w:szCs w:val="32"/>
        </w:rPr>
        <w:t>10号）</w:t>
      </w:r>
      <w:r>
        <w:rPr>
          <w:rFonts w:hint="eastAsia" w:ascii="仿宋_GB2312" w:cs="宋体" w:hAnsiTheme="minorEastAsia"/>
          <w:kern w:val="0"/>
          <w:sz w:val="32"/>
          <w:szCs w:val="32"/>
        </w:rPr>
        <w:t>的规定，绩效评价结果等级划分</w:t>
      </w:r>
      <w:r>
        <w:rPr>
          <w:rFonts w:hint="eastAsia" w:ascii="仿宋_GB2312" w:hAnsi="仿宋"/>
          <w:sz w:val="32"/>
          <w:szCs w:val="32"/>
        </w:rPr>
        <w:t xml:space="preserve">，本次绩效评价结果等级划分标准为：90（含）-100分为优、80（含）-90分为良、60（含）-80分为中、60分以下为差。 </w:t>
      </w:r>
    </w:p>
    <w:p>
      <w:pPr>
        <w:spacing w:line="560" w:lineRule="exact"/>
        <w:ind w:firstLine="664" w:firstLineChars="200"/>
        <w:outlineLvl w:val="1"/>
        <w:rPr>
          <w:rFonts w:ascii="楷体_GB2312" w:eastAsia="楷体_GB2312"/>
          <w:spacing w:val="6"/>
          <w:sz w:val="32"/>
          <w:szCs w:val="32"/>
        </w:rPr>
      </w:pPr>
      <w:bookmarkStart w:id="156" w:name="_Toc41420798"/>
      <w:bookmarkStart w:id="157" w:name="_Toc527805301"/>
      <w:bookmarkStart w:id="158" w:name="_Toc40873776"/>
      <w:bookmarkStart w:id="159" w:name="_Toc41419928"/>
      <w:r>
        <w:rPr>
          <w:rFonts w:hint="eastAsia" w:ascii="楷体_GB2312" w:eastAsia="楷体_GB2312"/>
          <w:spacing w:val="6"/>
          <w:sz w:val="32"/>
          <w:szCs w:val="32"/>
        </w:rPr>
        <w:t>（四）绩效评价指标体系</w:t>
      </w:r>
      <w:bookmarkEnd w:id="156"/>
      <w:bookmarkEnd w:id="157"/>
      <w:bookmarkEnd w:id="158"/>
      <w:bookmarkEnd w:id="159"/>
    </w:p>
    <w:p>
      <w:pPr>
        <w:spacing w:line="560" w:lineRule="exact"/>
        <w:ind w:firstLine="640" w:firstLineChars="200"/>
        <w:rPr>
          <w:rFonts w:ascii="仿宋_GB2312"/>
          <w:spacing w:val="6"/>
          <w:sz w:val="32"/>
          <w:szCs w:val="32"/>
        </w:rPr>
      </w:pPr>
      <w:r>
        <w:rPr>
          <w:rFonts w:hint="eastAsia" w:ascii="仿宋_GB2312" w:hAnsi="仿宋"/>
          <w:sz w:val="32"/>
          <w:szCs w:val="32"/>
        </w:rPr>
        <w:t>根据财政部《财政部关于印发&lt;项目支出绩效管理办法&gt;的通知》（财预〔2020〕10号）等相关文件要求，绩效评价指标体系按相关性、重要性、可比性、系统性、经济性原则进行设定，将</w:t>
      </w:r>
      <w:r>
        <w:rPr>
          <w:rFonts w:hint="eastAsia" w:ascii="仿宋_GB2312"/>
          <w:spacing w:val="6"/>
          <w:sz w:val="32"/>
          <w:szCs w:val="32"/>
        </w:rPr>
        <w:t>绩效指标体系共分为“决策、过程、产出、效果”4个一级指标，权重分别为：12%、20%、24%、44%。在此基础上将其分解为12个二级指标、19个三级指标。</w:t>
      </w:r>
      <w:r>
        <w:rPr>
          <w:rFonts w:hint="eastAsia" w:ascii="仿宋_GB2312" w:hAnsi="Cambria"/>
          <w:spacing w:val="6"/>
          <w:sz w:val="32"/>
          <w:szCs w:val="32"/>
        </w:rPr>
        <w:t>针对数据来源的不同，按以下三种方式进行评分。</w:t>
      </w:r>
      <w:r>
        <w:rPr>
          <w:rFonts w:hint="eastAsia" w:ascii="仿宋_GB2312" w:hAnsi="Cambria"/>
          <w:b/>
          <w:spacing w:val="6"/>
          <w:sz w:val="32"/>
          <w:szCs w:val="32"/>
        </w:rPr>
        <w:t>一是</w:t>
      </w:r>
      <w:r>
        <w:rPr>
          <w:rFonts w:hint="eastAsia" w:ascii="仿宋_GB2312" w:hAnsi="Cambria"/>
          <w:spacing w:val="6"/>
          <w:sz w:val="32"/>
          <w:szCs w:val="32"/>
        </w:rPr>
        <w:t>对只能通过省本级获取数据的指标，按省本级提供的资料和数据评分；</w:t>
      </w:r>
      <w:r>
        <w:rPr>
          <w:rFonts w:hint="eastAsia" w:ascii="仿宋_GB2312" w:hAnsi="Cambria"/>
          <w:b/>
          <w:spacing w:val="6"/>
          <w:sz w:val="32"/>
          <w:szCs w:val="32"/>
        </w:rPr>
        <w:t>二是</w:t>
      </w:r>
      <w:r>
        <w:rPr>
          <w:rFonts w:hint="eastAsia" w:ascii="仿宋_GB2312" w:hAnsi="Cambria"/>
          <w:spacing w:val="6"/>
          <w:sz w:val="32"/>
          <w:szCs w:val="32"/>
        </w:rPr>
        <w:t>只能通过现场勘查获取数据的指标，按现场勘查情况评分；</w:t>
      </w:r>
      <w:r>
        <w:rPr>
          <w:rFonts w:hint="eastAsia" w:ascii="仿宋_GB2312" w:hAnsi="Cambria"/>
          <w:b/>
          <w:spacing w:val="6"/>
          <w:sz w:val="32"/>
          <w:szCs w:val="32"/>
        </w:rPr>
        <w:t>三是</w:t>
      </w:r>
      <w:r>
        <w:rPr>
          <w:rFonts w:hint="eastAsia" w:ascii="仿宋_GB2312" w:hAnsi="Cambria"/>
          <w:spacing w:val="6"/>
          <w:sz w:val="32"/>
          <w:szCs w:val="32"/>
        </w:rPr>
        <w:t>可从现场勘查，也可从信息系统获取数据的指标，综合具体情况进行分析评分（</w:t>
      </w:r>
      <w:r>
        <w:rPr>
          <w:rFonts w:hint="eastAsia" w:ascii="仿宋_GB2312"/>
          <w:spacing w:val="6"/>
          <w:sz w:val="32"/>
          <w:szCs w:val="32"/>
        </w:rPr>
        <w:t>详见附件1）。</w:t>
      </w:r>
    </w:p>
    <w:p>
      <w:pPr>
        <w:spacing w:line="560" w:lineRule="exact"/>
        <w:ind w:firstLine="664" w:firstLineChars="200"/>
        <w:rPr>
          <w:rFonts w:ascii="楷体_GB2312" w:eastAsia="楷体_GB2312"/>
          <w:spacing w:val="6"/>
          <w:sz w:val="32"/>
          <w:szCs w:val="32"/>
        </w:rPr>
      </w:pPr>
      <w:r>
        <w:rPr>
          <w:rFonts w:hint="eastAsia" w:ascii="楷体_GB2312" w:eastAsia="楷体_GB2312"/>
          <w:spacing w:val="6"/>
          <w:sz w:val="32"/>
          <w:szCs w:val="32"/>
        </w:rPr>
        <w:t>（五）绩效评价抽样情况</w:t>
      </w:r>
    </w:p>
    <w:p>
      <w:pPr>
        <w:spacing w:line="560" w:lineRule="exact"/>
        <w:ind w:firstLine="640" w:firstLineChars="200"/>
        <w:rPr>
          <w:rFonts w:ascii="仿宋_GB2312" w:hAnsi="仿宋"/>
          <w:spacing w:val="6"/>
          <w:sz w:val="32"/>
          <w:szCs w:val="32"/>
        </w:rPr>
      </w:pPr>
      <w:r>
        <w:rPr>
          <w:rFonts w:hint="eastAsia" w:ascii="仿宋_GB2312" w:hAnsi="仿宋"/>
          <w:sz w:val="32"/>
          <w:szCs w:val="32"/>
        </w:rPr>
        <w:t>本次绩效评价抽样，采取线上专项资金管理系统核查与线下实地勘查相结合的方式进行。线上核查和实地勘查项目145个，占专项资金支持440个项目的32.96%;抽样的资金量为24620万元，占专项资金49917万元的49.32%。</w:t>
      </w:r>
    </w:p>
    <w:p>
      <w:pPr>
        <w:pStyle w:val="2"/>
        <w:spacing w:before="0" w:beforeAutospacing="0" w:after="0" w:afterAutospacing="0"/>
        <w:rPr>
          <w:b w:val="0"/>
          <w:spacing w:val="6"/>
        </w:rPr>
      </w:pPr>
      <w:bookmarkStart w:id="160" w:name="_Toc40873777"/>
      <w:bookmarkStart w:id="161" w:name="_Toc41419929"/>
      <w:bookmarkStart w:id="162" w:name="_Toc41420799"/>
      <w:r>
        <w:rPr>
          <w:rFonts w:hint="eastAsia"/>
          <w:b w:val="0"/>
          <w:spacing w:val="6"/>
        </w:rPr>
        <w:t>四、绩效评价结论。</w:t>
      </w:r>
      <w:bookmarkEnd w:id="160"/>
      <w:bookmarkEnd w:id="161"/>
      <w:bookmarkEnd w:id="162"/>
    </w:p>
    <w:p>
      <w:pPr>
        <w:pStyle w:val="16"/>
        <w:ind w:firstLine="664"/>
        <w:rPr>
          <w:b w:val="0"/>
          <w:spacing w:val="6"/>
        </w:rPr>
      </w:pPr>
      <w:bookmarkStart w:id="163" w:name="_Toc41419930"/>
      <w:bookmarkStart w:id="164" w:name="_Toc41420800"/>
      <w:bookmarkStart w:id="165" w:name="_Toc40873778"/>
      <w:r>
        <w:rPr>
          <w:rFonts w:hint="eastAsia"/>
          <w:b w:val="0"/>
          <w:spacing w:val="6"/>
        </w:rPr>
        <w:t>（一）绩效评价综合结论</w:t>
      </w:r>
      <w:bookmarkEnd w:id="163"/>
      <w:bookmarkEnd w:id="164"/>
      <w:bookmarkEnd w:id="165"/>
    </w:p>
    <w:p>
      <w:pPr>
        <w:spacing w:line="560" w:lineRule="exact"/>
        <w:ind w:firstLine="640" w:firstLineChars="200"/>
        <w:rPr>
          <w:rFonts w:ascii="仿宋_GB2312" w:hAnsi="仿宋"/>
          <w:sz w:val="32"/>
          <w:szCs w:val="32"/>
        </w:rPr>
      </w:pPr>
      <w:r>
        <w:rPr>
          <w:rFonts w:hint="eastAsia" w:ascii="仿宋_GB2312" w:hAnsi="仿宋"/>
          <w:sz w:val="32"/>
          <w:szCs w:val="32"/>
        </w:rPr>
        <w:t>2019年度省工信发展专项资金绩效评价综合得分为91.81分，绩效评价结果等级为“优”。四个维度具体得分情况见表4-1：</w:t>
      </w:r>
    </w:p>
    <w:p>
      <w:pPr>
        <w:spacing w:line="560" w:lineRule="exact"/>
        <w:jc w:val="center"/>
        <w:rPr>
          <w:rFonts w:ascii="仿宋_GB2312"/>
          <w:b/>
          <w:sz w:val="32"/>
          <w:szCs w:val="32"/>
        </w:rPr>
      </w:pPr>
      <w:r>
        <w:rPr>
          <w:rFonts w:hint="eastAsia" w:ascii="仿宋_GB2312"/>
          <w:b/>
          <w:spacing w:val="6"/>
          <w:sz w:val="32"/>
          <w:szCs w:val="32"/>
        </w:rPr>
        <w:t>表4-1 2019年度省工信发展专项资金绩效评价</w:t>
      </w:r>
      <w:r>
        <w:rPr>
          <w:rFonts w:hint="eastAsia" w:ascii="仿宋_GB2312"/>
          <w:b/>
          <w:sz w:val="32"/>
          <w:szCs w:val="32"/>
        </w:rPr>
        <w:t>综合得分表</w:t>
      </w:r>
    </w:p>
    <w:tbl>
      <w:tblPr>
        <w:tblStyle w:val="21"/>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680"/>
        <w:gridCol w:w="1570"/>
        <w:gridCol w:w="156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1" w:type="dxa"/>
            <w:vAlign w:val="center"/>
          </w:tcPr>
          <w:p>
            <w:pPr>
              <w:spacing w:line="560" w:lineRule="exact"/>
              <w:jc w:val="center"/>
              <w:rPr>
                <w:rFonts w:ascii="黑体" w:hAnsi="黑体" w:eastAsia="黑体"/>
                <w:sz w:val="24"/>
              </w:rPr>
            </w:pPr>
            <w:bookmarkStart w:id="166" w:name="OLE_LINK5"/>
            <w:r>
              <w:rPr>
                <w:rFonts w:ascii="黑体" w:hAnsi="黑体" w:eastAsia="黑体"/>
                <w:sz w:val="24"/>
              </w:rPr>
              <w:t>评价</w:t>
            </w:r>
            <w:r>
              <w:rPr>
                <w:rFonts w:hint="eastAsia" w:ascii="黑体" w:hAnsi="黑体" w:eastAsia="黑体"/>
                <w:sz w:val="24"/>
              </w:rPr>
              <w:t>指标</w:t>
            </w:r>
          </w:p>
        </w:tc>
        <w:tc>
          <w:tcPr>
            <w:tcW w:w="1680" w:type="dxa"/>
            <w:vAlign w:val="center"/>
          </w:tcPr>
          <w:p>
            <w:pPr>
              <w:spacing w:line="560" w:lineRule="exact"/>
              <w:jc w:val="center"/>
              <w:rPr>
                <w:rFonts w:ascii="黑体" w:hAnsi="黑体" w:eastAsia="黑体"/>
                <w:sz w:val="24"/>
              </w:rPr>
            </w:pPr>
            <w:r>
              <w:rPr>
                <w:rFonts w:hint="eastAsia" w:ascii="黑体" w:hAnsi="黑体" w:eastAsia="黑体"/>
                <w:sz w:val="24"/>
              </w:rPr>
              <w:t>权重</w:t>
            </w:r>
          </w:p>
        </w:tc>
        <w:tc>
          <w:tcPr>
            <w:tcW w:w="1570" w:type="dxa"/>
            <w:vAlign w:val="center"/>
          </w:tcPr>
          <w:p>
            <w:pPr>
              <w:spacing w:line="560" w:lineRule="exact"/>
              <w:jc w:val="center"/>
              <w:rPr>
                <w:rFonts w:ascii="黑体" w:hAnsi="黑体" w:eastAsia="黑体"/>
                <w:sz w:val="24"/>
              </w:rPr>
            </w:pPr>
            <w:r>
              <w:rPr>
                <w:rFonts w:hint="eastAsia" w:ascii="黑体" w:hAnsi="黑体" w:eastAsia="黑体"/>
                <w:sz w:val="24"/>
              </w:rPr>
              <w:t>评价得分</w:t>
            </w:r>
          </w:p>
        </w:tc>
        <w:tc>
          <w:tcPr>
            <w:tcW w:w="1569" w:type="dxa"/>
            <w:vAlign w:val="center"/>
          </w:tcPr>
          <w:p>
            <w:pPr>
              <w:spacing w:line="560" w:lineRule="exact"/>
              <w:jc w:val="center"/>
              <w:rPr>
                <w:rFonts w:ascii="黑体" w:hAnsi="黑体" w:eastAsia="黑体"/>
                <w:sz w:val="24"/>
              </w:rPr>
            </w:pPr>
            <w:r>
              <w:rPr>
                <w:rFonts w:hint="eastAsia" w:ascii="黑体" w:hAnsi="黑体" w:eastAsia="黑体"/>
                <w:sz w:val="24"/>
              </w:rPr>
              <w:t>得分率</w:t>
            </w:r>
          </w:p>
        </w:tc>
        <w:tc>
          <w:tcPr>
            <w:tcW w:w="1973" w:type="dxa"/>
            <w:vAlign w:val="center"/>
          </w:tcPr>
          <w:p>
            <w:pPr>
              <w:spacing w:line="560" w:lineRule="exact"/>
              <w:jc w:val="center"/>
              <w:rPr>
                <w:rFonts w:ascii="黑体" w:hAnsi="黑体" w:eastAsia="黑体"/>
                <w:sz w:val="24"/>
              </w:rPr>
            </w:pPr>
            <w:r>
              <w:rPr>
                <w:rFonts w:ascii="黑体" w:hAnsi="黑体" w:eastAsia="黑体"/>
                <w:sz w:val="24"/>
              </w:rPr>
              <w:t>绩效</w:t>
            </w:r>
            <w:r>
              <w:rPr>
                <w:rFonts w:hint="eastAsia" w:ascii="黑体" w:hAnsi="黑体" w:eastAsia="黑体"/>
                <w:sz w:val="24"/>
              </w:rPr>
              <w:t>评价</w:t>
            </w:r>
            <w:r>
              <w:rPr>
                <w:rFonts w:ascii="黑体" w:hAnsi="黑体" w:eastAsia="黑体"/>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71" w:type="dxa"/>
            <w:vAlign w:val="center"/>
          </w:tcPr>
          <w:p>
            <w:pPr>
              <w:spacing w:line="560" w:lineRule="exact"/>
              <w:jc w:val="center"/>
              <w:rPr>
                <w:rFonts w:ascii="仿宋_GB2312" w:hAnsiTheme="minorEastAsia"/>
                <w:sz w:val="24"/>
              </w:rPr>
            </w:pPr>
            <w:r>
              <w:rPr>
                <w:rFonts w:hint="eastAsia" w:ascii="仿宋_GB2312" w:hAnsiTheme="minorEastAsia"/>
                <w:sz w:val="24"/>
              </w:rPr>
              <w:t>决策</w:t>
            </w:r>
          </w:p>
        </w:tc>
        <w:tc>
          <w:tcPr>
            <w:tcW w:w="1680" w:type="dxa"/>
            <w:vAlign w:val="center"/>
          </w:tcPr>
          <w:p>
            <w:pPr>
              <w:spacing w:line="560" w:lineRule="exact"/>
              <w:jc w:val="center"/>
              <w:rPr>
                <w:rFonts w:ascii="仿宋_GB2312" w:hAnsiTheme="minorEastAsia"/>
                <w:sz w:val="24"/>
              </w:rPr>
            </w:pPr>
            <w:r>
              <w:rPr>
                <w:rFonts w:hint="eastAsia" w:ascii="仿宋_GB2312" w:hAnsiTheme="minorEastAsia"/>
                <w:sz w:val="24"/>
              </w:rPr>
              <w:t>12</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10.5</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87.50%</w:t>
            </w:r>
          </w:p>
        </w:tc>
        <w:tc>
          <w:tcPr>
            <w:tcW w:w="1973" w:type="dxa"/>
            <w:vAlign w:val="center"/>
          </w:tcPr>
          <w:p>
            <w:pPr>
              <w:spacing w:line="560" w:lineRule="exact"/>
              <w:jc w:val="center"/>
              <w:rPr>
                <w:rFonts w:ascii="仿宋_GB2312" w:hAnsiTheme="minorEastAsia"/>
                <w:sz w:val="24"/>
              </w:rPr>
            </w:pPr>
            <w:r>
              <w:rPr>
                <w:rFonts w:hint="eastAsia" w:ascii="仿宋_GB2312" w:hAnsiTheme="minorEastAsia"/>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1" w:type="dxa"/>
            <w:vAlign w:val="center"/>
          </w:tcPr>
          <w:p>
            <w:pPr>
              <w:spacing w:line="560" w:lineRule="exact"/>
              <w:jc w:val="center"/>
              <w:rPr>
                <w:rFonts w:ascii="仿宋_GB2312" w:hAnsiTheme="minorEastAsia"/>
                <w:sz w:val="24"/>
              </w:rPr>
            </w:pPr>
            <w:r>
              <w:rPr>
                <w:rFonts w:hint="eastAsia" w:ascii="仿宋_GB2312" w:hAnsiTheme="minorEastAsia"/>
                <w:sz w:val="24"/>
              </w:rPr>
              <w:t>过程</w:t>
            </w:r>
          </w:p>
        </w:tc>
        <w:tc>
          <w:tcPr>
            <w:tcW w:w="1680" w:type="dxa"/>
            <w:vAlign w:val="center"/>
          </w:tcPr>
          <w:p>
            <w:pPr>
              <w:spacing w:line="560" w:lineRule="exact"/>
              <w:jc w:val="center"/>
              <w:rPr>
                <w:rFonts w:ascii="仿宋_GB2312" w:hAnsiTheme="minorEastAsia"/>
                <w:sz w:val="24"/>
              </w:rPr>
            </w:pPr>
            <w:r>
              <w:rPr>
                <w:rFonts w:hint="eastAsia" w:ascii="仿宋_GB2312" w:hAnsiTheme="minorEastAsia"/>
                <w:sz w:val="24"/>
              </w:rPr>
              <w:t>20</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17</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85.00%</w:t>
            </w:r>
          </w:p>
        </w:tc>
        <w:tc>
          <w:tcPr>
            <w:tcW w:w="1973" w:type="dxa"/>
            <w:vAlign w:val="center"/>
          </w:tcPr>
          <w:p>
            <w:pPr>
              <w:spacing w:line="560" w:lineRule="exact"/>
              <w:jc w:val="center"/>
              <w:rPr>
                <w:rFonts w:ascii="仿宋_GB2312" w:hAnsiTheme="minorEastAsia"/>
                <w:sz w:val="24"/>
              </w:rPr>
            </w:pPr>
            <w:r>
              <w:rPr>
                <w:rFonts w:hint="eastAsia" w:ascii="仿宋_GB2312" w:hAnsiTheme="minorEastAsia"/>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1" w:type="dxa"/>
            <w:vAlign w:val="center"/>
          </w:tcPr>
          <w:p>
            <w:pPr>
              <w:spacing w:line="560" w:lineRule="exact"/>
              <w:jc w:val="center"/>
              <w:rPr>
                <w:rFonts w:ascii="仿宋_GB2312" w:hAnsiTheme="minorEastAsia"/>
                <w:sz w:val="24"/>
              </w:rPr>
            </w:pPr>
            <w:r>
              <w:rPr>
                <w:rFonts w:hint="eastAsia" w:ascii="仿宋_GB2312" w:hAnsiTheme="minorEastAsia"/>
                <w:sz w:val="24"/>
              </w:rPr>
              <w:t>产出</w:t>
            </w:r>
          </w:p>
        </w:tc>
        <w:tc>
          <w:tcPr>
            <w:tcW w:w="1680" w:type="dxa"/>
            <w:vAlign w:val="center"/>
          </w:tcPr>
          <w:p>
            <w:pPr>
              <w:spacing w:line="560" w:lineRule="exact"/>
              <w:jc w:val="center"/>
              <w:rPr>
                <w:rFonts w:ascii="仿宋_GB2312" w:hAnsiTheme="minorEastAsia"/>
                <w:sz w:val="24"/>
              </w:rPr>
            </w:pPr>
            <w:r>
              <w:rPr>
                <w:rFonts w:hint="eastAsia" w:ascii="仿宋_GB2312" w:hAnsiTheme="minorEastAsia"/>
                <w:sz w:val="24"/>
              </w:rPr>
              <w:t>24</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20.31</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84.63%</w:t>
            </w:r>
          </w:p>
        </w:tc>
        <w:tc>
          <w:tcPr>
            <w:tcW w:w="1973" w:type="dxa"/>
            <w:vAlign w:val="center"/>
          </w:tcPr>
          <w:p>
            <w:pPr>
              <w:spacing w:line="560" w:lineRule="exact"/>
              <w:jc w:val="center"/>
              <w:rPr>
                <w:rFonts w:ascii="仿宋_GB2312" w:hAnsiTheme="minorEastAsia"/>
                <w:sz w:val="24"/>
              </w:rPr>
            </w:pPr>
            <w:r>
              <w:rPr>
                <w:rFonts w:hint="eastAsia" w:ascii="仿宋_GB2312" w:hAnsiTheme="minorEastAsia"/>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71" w:type="dxa"/>
            <w:vAlign w:val="center"/>
          </w:tcPr>
          <w:p>
            <w:pPr>
              <w:spacing w:line="560" w:lineRule="exact"/>
              <w:jc w:val="center"/>
              <w:rPr>
                <w:rFonts w:ascii="仿宋_GB2312" w:hAnsiTheme="minorEastAsia"/>
                <w:sz w:val="24"/>
              </w:rPr>
            </w:pPr>
            <w:r>
              <w:rPr>
                <w:rFonts w:hint="eastAsia" w:ascii="仿宋_GB2312" w:hAnsiTheme="minorEastAsia"/>
                <w:sz w:val="24"/>
              </w:rPr>
              <w:t>效益</w:t>
            </w:r>
          </w:p>
        </w:tc>
        <w:tc>
          <w:tcPr>
            <w:tcW w:w="1680" w:type="dxa"/>
            <w:vAlign w:val="center"/>
          </w:tcPr>
          <w:p>
            <w:pPr>
              <w:spacing w:line="560" w:lineRule="exact"/>
              <w:jc w:val="center"/>
              <w:rPr>
                <w:rFonts w:ascii="仿宋_GB2312" w:hAnsiTheme="minorEastAsia"/>
                <w:sz w:val="24"/>
              </w:rPr>
            </w:pPr>
            <w:r>
              <w:rPr>
                <w:rFonts w:hint="eastAsia" w:ascii="仿宋_GB2312" w:hAnsiTheme="minorEastAsia"/>
                <w:sz w:val="24"/>
              </w:rPr>
              <w:t>44</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44</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100.00%</w:t>
            </w:r>
          </w:p>
        </w:tc>
        <w:tc>
          <w:tcPr>
            <w:tcW w:w="1973" w:type="dxa"/>
            <w:vAlign w:val="center"/>
          </w:tcPr>
          <w:p>
            <w:pPr>
              <w:spacing w:line="560" w:lineRule="exact"/>
              <w:jc w:val="center"/>
              <w:rPr>
                <w:rFonts w:ascii="仿宋_GB2312" w:hAnsiTheme="minorEastAsia"/>
                <w:sz w:val="24"/>
              </w:rPr>
            </w:pPr>
            <w:r>
              <w:rPr>
                <w:rFonts w:hint="eastAsia" w:ascii="仿宋_GB2312" w:hAnsiTheme="minorEastAsia"/>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1" w:type="dxa"/>
            <w:vAlign w:val="center"/>
          </w:tcPr>
          <w:p>
            <w:pPr>
              <w:spacing w:line="560" w:lineRule="exact"/>
              <w:jc w:val="center"/>
              <w:rPr>
                <w:rFonts w:ascii="仿宋_GB2312" w:hAnsiTheme="minorEastAsia"/>
                <w:b/>
                <w:sz w:val="24"/>
              </w:rPr>
            </w:pPr>
            <w:r>
              <w:rPr>
                <w:rFonts w:hint="eastAsia" w:ascii="仿宋_GB2312" w:hAnsiTheme="minorEastAsia"/>
                <w:b/>
                <w:sz w:val="24"/>
              </w:rPr>
              <w:t>合计</w:t>
            </w:r>
          </w:p>
        </w:tc>
        <w:tc>
          <w:tcPr>
            <w:tcW w:w="1680" w:type="dxa"/>
            <w:vAlign w:val="center"/>
          </w:tcPr>
          <w:p>
            <w:pPr>
              <w:spacing w:line="560" w:lineRule="exact"/>
              <w:jc w:val="center"/>
              <w:rPr>
                <w:rFonts w:ascii="仿宋_GB2312" w:hAnsiTheme="minorEastAsia"/>
                <w:b/>
                <w:sz w:val="24"/>
              </w:rPr>
            </w:pPr>
            <w:r>
              <w:rPr>
                <w:rFonts w:hint="eastAsia" w:ascii="仿宋_GB2312" w:hAnsiTheme="minorEastAsia"/>
                <w:b/>
                <w:sz w:val="24"/>
              </w:rPr>
              <w:t>100</w:t>
            </w:r>
          </w:p>
        </w:tc>
        <w:tc>
          <w:tcPr>
            <w:tcW w:w="1570" w:type="dxa"/>
            <w:vAlign w:val="center"/>
          </w:tcPr>
          <w:p>
            <w:pPr>
              <w:spacing w:line="560" w:lineRule="exact"/>
              <w:jc w:val="center"/>
              <w:rPr>
                <w:rFonts w:ascii="仿宋_GB2312" w:hAnsiTheme="minorEastAsia"/>
                <w:sz w:val="24"/>
              </w:rPr>
            </w:pPr>
            <w:r>
              <w:rPr>
                <w:rFonts w:hint="eastAsia" w:ascii="仿宋_GB2312" w:hAnsiTheme="minorEastAsia"/>
                <w:sz w:val="24"/>
              </w:rPr>
              <w:t>91.81</w:t>
            </w:r>
          </w:p>
        </w:tc>
        <w:tc>
          <w:tcPr>
            <w:tcW w:w="1569" w:type="dxa"/>
            <w:vAlign w:val="center"/>
          </w:tcPr>
          <w:p>
            <w:pPr>
              <w:spacing w:line="560" w:lineRule="exact"/>
              <w:jc w:val="center"/>
              <w:rPr>
                <w:rFonts w:ascii="仿宋_GB2312" w:hAnsiTheme="minorEastAsia"/>
                <w:sz w:val="24"/>
              </w:rPr>
            </w:pPr>
            <w:r>
              <w:rPr>
                <w:rFonts w:hint="eastAsia" w:ascii="仿宋_GB2312" w:hAnsiTheme="minorEastAsia"/>
                <w:sz w:val="24"/>
              </w:rPr>
              <w:t>91.81%</w:t>
            </w:r>
          </w:p>
        </w:tc>
        <w:tc>
          <w:tcPr>
            <w:tcW w:w="1973" w:type="dxa"/>
            <w:vAlign w:val="center"/>
          </w:tcPr>
          <w:p>
            <w:pPr>
              <w:spacing w:line="560" w:lineRule="exact"/>
              <w:jc w:val="center"/>
              <w:rPr>
                <w:rFonts w:ascii="仿宋_GB2312" w:hAnsiTheme="minorEastAsia"/>
                <w:b/>
                <w:sz w:val="24"/>
              </w:rPr>
            </w:pPr>
            <w:r>
              <w:rPr>
                <w:rFonts w:hint="eastAsia" w:ascii="仿宋_GB2312" w:hAnsiTheme="minorEastAsia"/>
                <w:b/>
                <w:sz w:val="24"/>
              </w:rPr>
              <w:t>优</w:t>
            </w:r>
          </w:p>
        </w:tc>
      </w:tr>
      <w:bookmarkEnd w:id="166"/>
    </w:tbl>
    <w:p>
      <w:pPr>
        <w:spacing w:line="560" w:lineRule="exact"/>
        <w:ind w:firstLine="666" w:firstLineChars="200"/>
        <w:rPr>
          <w:rFonts w:ascii="仿宋_GB2312"/>
          <w:spacing w:val="6"/>
          <w:sz w:val="32"/>
          <w:szCs w:val="32"/>
        </w:rPr>
      </w:pPr>
      <w:bookmarkStart w:id="167" w:name="_Toc530576877"/>
      <w:r>
        <w:rPr>
          <w:rFonts w:hint="eastAsia" w:ascii="仿宋_GB2312"/>
          <w:b/>
          <w:spacing w:val="6"/>
          <w:sz w:val="32"/>
          <w:szCs w:val="32"/>
        </w:rPr>
        <w:t>综合评价结论：</w:t>
      </w:r>
      <w:r>
        <w:rPr>
          <w:rFonts w:hint="eastAsia" w:ascii="仿宋_GB2312"/>
          <w:spacing w:val="6"/>
          <w:sz w:val="32"/>
          <w:szCs w:val="32"/>
        </w:rPr>
        <w:t>省工信厅在</w:t>
      </w:r>
      <w:r>
        <w:rPr>
          <w:rFonts w:ascii="仿宋_GB2312"/>
          <w:spacing w:val="6"/>
          <w:sz w:val="32"/>
          <w:szCs w:val="32"/>
        </w:rPr>
        <w:t>2019年全省经济下行压力较大</w:t>
      </w:r>
      <w:r>
        <w:rPr>
          <w:rFonts w:hint="eastAsia" w:ascii="仿宋_GB2312"/>
          <w:spacing w:val="6"/>
          <w:sz w:val="32"/>
          <w:szCs w:val="32"/>
        </w:rPr>
        <w:t>的情况下</w:t>
      </w:r>
      <w:r>
        <w:rPr>
          <w:rFonts w:ascii="仿宋_GB2312"/>
          <w:spacing w:val="6"/>
          <w:sz w:val="32"/>
          <w:szCs w:val="32"/>
        </w:rPr>
        <w:t>，</w:t>
      </w:r>
      <w:r>
        <w:rPr>
          <w:rFonts w:hint="eastAsia" w:ascii="仿宋_GB2312"/>
          <w:spacing w:val="6"/>
          <w:sz w:val="32"/>
          <w:szCs w:val="32"/>
        </w:rPr>
        <w:t>根据贵州省委、省政府</w:t>
      </w:r>
      <w:r>
        <w:rPr>
          <w:rFonts w:ascii="仿宋_GB2312"/>
          <w:spacing w:val="6"/>
          <w:sz w:val="32"/>
          <w:szCs w:val="32"/>
        </w:rPr>
        <w:t>十大千亿级工业产业振兴行动</w:t>
      </w:r>
      <w:r>
        <w:rPr>
          <w:rFonts w:hint="eastAsia" w:ascii="仿宋_GB2312"/>
          <w:spacing w:val="6"/>
          <w:sz w:val="32"/>
          <w:szCs w:val="32"/>
        </w:rPr>
        <w:t>等</w:t>
      </w:r>
      <w:r>
        <w:rPr>
          <w:rFonts w:ascii="仿宋_GB2312"/>
          <w:spacing w:val="6"/>
          <w:sz w:val="32"/>
          <w:szCs w:val="32"/>
        </w:rPr>
        <w:t>安排部署，以</w:t>
      </w:r>
      <w:r>
        <w:rPr>
          <w:rFonts w:hint="eastAsia" w:ascii="仿宋_GB2312"/>
          <w:spacing w:val="6"/>
          <w:sz w:val="32"/>
          <w:szCs w:val="32"/>
        </w:rPr>
        <w:t>工信发展专项资金带动社会资本，支持工业经济发展，</w:t>
      </w:r>
      <w:r>
        <w:rPr>
          <w:rFonts w:ascii="仿宋_GB2312"/>
          <w:spacing w:val="6"/>
          <w:sz w:val="32"/>
          <w:szCs w:val="32"/>
        </w:rPr>
        <w:t>持续推进“千企改造”工程</w:t>
      </w:r>
      <w:r>
        <w:rPr>
          <w:rFonts w:hint="eastAsia" w:ascii="仿宋_GB2312"/>
          <w:spacing w:val="6"/>
          <w:sz w:val="32"/>
          <w:szCs w:val="32"/>
        </w:rPr>
        <w:t>，保证了</w:t>
      </w:r>
      <w:r>
        <w:rPr>
          <w:rFonts w:ascii="仿宋_GB2312"/>
          <w:spacing w:val="6"/>
          <w:sz w:val="32"/>
          <w:szCs w:val="32"/>
        </w:rPr>
        <w:t>全省工业经济运行总体平稳</w:t>
      </w:r>
      <w:r>
        <w:rPr>
          <w:rFonts w:hint="eastAsia" w:ascii="仿宋_GB2312"/>
          <w:spacing w:val="6"/>
          <w:sz w:val="32"/>
          <w:szCs w:val="32"/>
        </w:rPr>
        <w:t>，较好发挥了专项资金的作用，总体目标完成较好。但主管部门在绩效目标编制上还需进一步优化，项目实施单位在资金核算管理、制度建立及项目调整报备上还有不足，项目实施的验收组织总体还存在一定差距。</w:t>
      </w:r>
    </w:p>
    <w:p>
      <w:pPr>
        <w:pStyle w:val="16"/>
        <w:ind w:firstLine="667"/>
        <w:rPr>
          <w:spacing w:val="6"/>
        </w:rPr>
      </w:pPr>
      <w:bookmarkStart w:id="168" w:name="_Toc41419931"/>
      <w:bookmarkStart w:id="169" w:name="_Toc40873779"/>
      <w:bookmarkStart w:id="170" w:name="_Toc41420801"/>
      <w:r>
        <w:rPr>
          <w:rFonts w:hint="eastAsia"/>
          <w:spacing w:val="6"/>
        </w:rPr>
        <w:t>（二）绩效目标实现情况</w:t>
      </w:r>
      <w:bookmarkEnd w:id="167"/>
      <w:bookmarkEnd w:id="168"/>
      <w:bookmarkEnd w:id="169"/>
      <w:bookmarkEnd w:id="170"/>
    </w:p>
    <w:p>
      <w:pPr>
        <w:spacing w:line="560" w:lineRule="exact"/>
        <w:ind w:firstLine="664" w:firstLineChars="200"/>
        <w:rPr>
          <w:rFonts w:ascii="仿宋_GB2312"/>
          <w:spacing w:val="6"/>
          <w:sz w:val="32"/>
          <w:szCs w:val="32"/>
        </w:rPr>
      </w:pPr>
      <w:r>
        <w:rPr>
          <w:rFonts w:hint="eastAsia" w:ascii="仿宋_GB2312"/>
          <w:spacing w:val="6"/>
          <w:sz w:val="32"/>
          <w:szCs w:val="32"/>
        </w:rPr>
        <w:t>根据实地抽样调查、资料收集和政府发布的相关信息了解，2019年度省工信发展专项资金绩效目标全部实现。具体完成情况见表4-2：</w:t>
      </w:r>
    </w:p>
    <w:p>
      <w:pPr>
        <w:spacing w:line="560" w:lineRule="exact"/>
        <w:jc w:val="center"/>
        <w:rPr>
          <w:rFonts w:ascii="仿宋_GB2312"/>
          <w:b/>
          <w:spacing w:val="6"/>
          <w:sz w:val="32"/>
          <w:szCs w:val="32"/>
        </w:rPr>
      </w:pPr>
      <w:r>
        <w:rPr>
          <w:rFonts w:hint="eastAsia" w:ascii="仿宋_GB2312"/>
          <w:b/>
          <w:spacing w:val="6"/>
          <w:sz w:val="32"/>
          <w:szCs w:val="32"/>
        </w:rPr>
        <w:t>表4-2 2019年度省工信发展专项资金绩效目标</w:t>
      </w:r>
      <w:r>
        <w:rPr>
          <w:rFonts w:hint="eastAsia" w:ascii="仿宋_GB2312" w:hAnsi="宋体"/>
          <w:b/>
          <w:spacing w:val="6"/>
          <w:sz w:val="32"/>
          <w:szCs w:val="32"/>
        </w:rPr>
        <w:t>完成情况表</w:t>
      </w:r>
    </w:p>
    <w:tbl>
      <w:tblPr>
        <w:tblStyle w:val="21"/>
        <w:tblW w:w="8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7"/>
        <w:gridCol w:w="6437"/>
        <w:gridCol w:w="1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7" w:type="dxa"/>
            <w:vAlign w:val="center"/>
          </w:tcPr>
          <w:p>
            <w:pPr>
              <w:jc w:val="center"/>
              <w:rPr>
                <w:rFonts w:ascii="黑体" w:hAnsi="黑体" w:eastAsia="黑体"/>
                <w:sz w:val="21"/>
                <w:szCs w:val="21"/>
              </w:rPr>
            </w:pPr>
            <w:r>
              <w:rPr>
                <w:rFonts w:hint="eastAsia" w:ascii="黑体" w:hAnsi="黑体" w:eastAsia="黑体"/>
                <w:sz w:val="21"/>
                <w:szCs w:val="21"/>
              </w:rPr>
              <w:t>序号</w:t>
            </w:r>
          </w:p>
        </w:tc>
        <w:tc>
          <w:tcPr>
            <w:tcW w:w="6437" w:type="dxa"/>
            <w:vAlign w:val="center"/>
          </w:tcPr>
          <w:p>
            <w:pPr>
              <w:jc w:val="center"/>
              <w:rPr>
                <w:rFonts w:ascii="黑体" w:hAnsi="黑体" w:eastAsia="黑体"/>
                <w:sz w:val="21"/>
                <w:szCs w:val="21"/>
              </w:rPr>
            </w:pPr>
            <w:r>
              <w:rPr>
                <w:rFonts w:hint="eastAsia" w:ascii="黑体" w:hAnsi="黑体" w:eastAsia="黑体"/>
                <w:sz w:val="21"/>
                <w:szCs w:val="21"/>
              </w:rPr>
              <w:t>绩效目标设定情况</w:t>
            </w:r>
          </w:p>
        </w:tc>
        <w:tc>
          <w:tcPr>
            <w:tcW w:w="1805" w:type="dxa"/>
          </w:tcPr>
          <w:p>
            <w:pPr>
              <w:jc w:val="center"/>
              <w:rPr>
                <w:rFonts w:ascii="黑体" w:hAnsi="黑体" w:eastAsia="黑体"/>
                <w:sz w:val="21"/>
                <w:szCs w:val="21"/>
              </w:rPr>
            </w:pPr>
            <w:r>
              <w:rPr>
                <w:rFonts w:hint="eastAsia" w:ascii="黑体" w:hAnsi="黑体" w:eastAsia="黑体"/>
                <w:sz w:val="21"/>
                <w:szCs w:val="21"/>
              </w:rPr>
              <w:t>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1</w:t>
            </w:r>
          </w:p>
        </w:tc>
        <w:tc>
          <w:tcPr>
            <w:tcW w:w="6437" w:type="dxa"/>
            <w:vAlign w:val="center"/>
          </w:tcPr>
          <w:p>
            <w:pPr>
              <w:jc w:val="left"/>
              <w:rPr>
                <w:rFonts w:ascii="仿宋_GB2312" w:hAnsiTheme="minorEastAsia"/>
                <w:sz w:val="21"/>
                <w:szCs w:val="21"/>
              </w:rPr>
            </w:pPr>
            <w:r>
              <w:rPr>
                <w:rFonts w:hint="eastAsia" w:ascii="仿宋_GB2312" w:hAnsiTheme="minorEastAsia"/>
                <w:sz w:val="21"/>
                <w:szCs w:val="21"/>
              </w:rPr>
              <w:t>规模以上工业增加值增速增长9%左右</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增长9.6%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2</w:t>
            </w:r>
          </w:p>
        </w:tc>
        <w:tc>
          <w:tcPr>
            <w:tcW w:w="6437" w:type="dxa"/>
          </w:tcPr>
          <w:p>
            <w:pPr>
              <w:jc w:val="left"/>
              <w:rPr>
                <w:rFonts w:ascii="仿宋_GB2312" w:hAnsiTheme="minorEastAsia"/>
                <w:sz w:val="21"/>
                <w:szCs w:val="21"/>
              </w:rPr>
            </w:pPr>
            <w:r>
              <w:rPr>
                <w:rFonts w:hint="eastAsia" w:ascii="仿宋_GB2312" w:hAnsiTheme="minorEastAsia"/>
                <w:sz w:val="21"/>
                <w:szCs w:val="21"/>
              </w:rPr>
              <w:t>规模以上工业增加值增速排名全国前5位</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第1位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3</w:t>
            </w:r>
          </w:p>
        </w:tc>
        <w:tc>
          <w:tcPr>
            <w:tcW w:w="6437" w:type="dxa"/>
          </w:tcPr>
          <w:p>
            <w:pPr>
              <w:jc w:val="left"/>
              <w:rPr>
                <w:rFonts w:ascii="仿宋_GB2312" w:hAnsiTheme="minorEastAsia"/>
                <w:sz w:val="21"/>
                <w:szCs w:val="21"/>
              </w:rPr>
            </w:pPr>
            <w:r>
              <w:rPr>
                <w:rFonts w:hint="eastAsia" w:ascii="仿宋_GB2312" w:hAnsiTheme="minorEastAsia"/>
                <w:sz w:val="21"/>
                <w:szCs w:val="21"/>
              </w:rPr>
              <w:t>十大千亿工业产业占全省规模以上工业总产值比重达到80%及以上</w:t>
            </w:r>
          </w:p>
        </w:tc>
        <w:tc>
          <w:tcPr>
            <w:tcW w:w="1805" w:type="dxa"/>
            <w:vAlign w:val="center"/>
          </w:tcPr>
          <w:p>
            <w:pPr>
              <w:jc w:val="center"/>
              <w:rPr>
                <w:rFonts w:ascii="仿宋_GB2312" w:cs="宋体" w:hAnsiTheme="minorEastAsia"/>
                <w:sz w:val="21"/>
                <w:szCs w:val="21"/>
              </w:rPr>
            </w:pPr>
            <w:r>
              <w:rPr>
                <w:rFonts w:hint="eastAsia" w:ascii="仿宋_GB2312" w:hAnsiTheme="minorEastAsia"/>
                <w:sz w:val="21"/>
                <w:szCs w:val="21"/>
              </w:rPr>
              <w:t>达到95%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4</w:t>
            </w:r>
          </w:p>
        </w:tc>
        <w:tc>
          <w:tcPr>
            <w:tcW w:w="6437" w:type="dxa"/>
          </w:tcPr>
          <w:p>
            <w:pPr>
              <w:jc w:val="left"/>
              <w:rPr>
                <w:rFonts w:ascii="仿宋_GB2312" w:hAnsiTheme="minorEastAsia"/>
                <w:sz w:val="21"/>
                <w:szCs w:val="21"/>
              </w:rPr>
            </w:pPr>
            <w:r>
              <w:rPr>
                <w:rFonts w:hint="eastAsia" w:ascii="仿宋_GB2312" w:hAnsiTheme="minorEastAsia"/>
                <w:sz w:val="21"/>
                <w:szCs w:val="21"/>
              </w:rPr>
              <w:t>扶持60个以上园区</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扶持70个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5</w:t>
            </w:r>
          </w:p>
        </w:tc>
        <w:tc>
          <w:tcPr>
            <w:tcW w:w="6437" w:type="dxa"/>
          </w:tcPr>
          <w:p>
            <w:pPr>
              <w:jc w:val="left"/>
              <w:rPr>
                <w:rFonts w:ascii="仿宋_GB2312" w:hAnsiTheme="minorEastAsia"/>
                <w:sz w:val="21"/>
                <w:szCs w:val="21"/>
              </w:rPr>
            </w:pPr>
            <w:r>
              <w:rPr>
                <w:rFonts w:hint="eastAsia" w:ascii="仿宋_GB2312" w:hAnsiTheme="minorEastAsia"/>
                <w:sz w:val="21"/>
                <w:szCs w:val="21"/>
              </w:rPr>
              <w:t>全年完成中小企业培训1万人次以上</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培训19000余人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7" w:type="dxa"/>
            <w:vAlign w:val="center"/>
          </w:tcPr>
          <w:p>
            <w:pPr>
              <w:jc w:val="center"/>
              <w:rPr>
                <w:rFonts w:ascii="仿宋_GB2312" w:hAnsiTheme="minorEastAsia"/>
                <w:sz w:val="21"/>
                <w:szCs w:val="21"/>
              </w:rPr>
            </w:pPr>
            <w:r>
              <w:rPr>
                <w:rFonts w:hint="eastAsia" w:ascii="仿宋_GB2312" w:hAnsiTheme="minorEastAsia"/>
                <w:sz w:val="21"/>
                <w:szCs w:val="21"/>
              </w:rPr>
              <w:t>6</w:t>
            </w:r>
          </w:p>
        </w:tc>
        <w:tc>
          <w:tcPr>
            <w:tcW w:w="6437" w:type="dxa"/>
          </w:tcPr>
          <w:p>
            <w:pPr>
              <w:jc w:val="left"/>
              <w:rPr>
                <w:rFonts w:ascii="仿宋_GB2312" w:hAnsiTheme="minorEastAsia"/>
                <w:sz w:val="24"/>
              </w:rPr>
            </w:pPr>
            <w:r>
              <w:rPr>
                <w:rFonts w:ascii="仿宋_GB2312" w:hAnsiTheme="minorEastAsia"/>
                <w:sz w:val="21"/>
                <w:szCs w:val="21"/>
              </w:rPr>
              <w:t>民营经济增加值同比增长9%</w:t>
            </w:r>
            <w:r>
              <w:rPr>
                <w:rFonts w:hint="eastAsia" w:ascii="仿宋_GB2312" w:hAnsiTheme="minorEastAsia"/>
                <w:sz w:val="21"/>
                <w:szCs w:val="21"/>
              </w:rPr>
              <w:t>左右</w:t>
            </w:r>
          </w:p>
        </w:tc>
        <w:tc>
          <w:tcPr>
            <w:tcW w:w="1805" w:type="dxa"/>
            <w:vAlign w:val="center"/>
          </w:tcPr>
          <w:p>
            <w:pPr>
              <w:jc w:val="center"/>
              <w:rPr>
                <w:rFonts w:ascii="仿宋_GB2312" w:hAnsiTheme="minorEastAsia"/>
                <w:sz w:val="21"/>
                <w:szCs w:val="21"/>
              </w:rPr>
            </w:pPr>
            <w:r>
              <w:rPr>
                <w:rFonts w:hint="eastAsia" w:ascii="仿宋_GB2312" w:hAnsiTheme="minorEastAsia"/>
                <w:sz w:val="21"/>
                <w:szCs w:val="21"/>
              </w:rPr>
              <w:t>增长9%以上</w:t>
            </w:r>
          </w:p>
        </w:tc>
      </w:tr>
    </w:tbl>
    <w:p>
      <w:pPr>
        <w:spacing w:line="560" w:lineRule="exact"/>
        <w:ind w:firstLine="664" w:firstLineChars="200"/>
        <w:rPr>
          <w:rFonts w:ascii="仿宋_GB2312"/>
          <w:spacing w:val="6"/>
          <w:sz w:val="32"/>
          <w:szCs w:val="32"/>
        </w:rPr>
      </w:pPr>
      <w:r>
        <w:rPr>
          <w:rFonts w:hint="eastAsia" w:ascii="仿宋_GB2312"/>
          <w:spacing w:val="6"/>
          <w:sz w:val="32"/>
          <w:szCs w:val="32"/>
        </w:rPr>
        <w:t>据核查统计，2019年度省工信发展专项资金10个绩效指标全部完成，绩效指标完成情况详见表4-3：</w:t>
      </w:r>
    </w:p>
    <w:p>
      <w:pPr>
        <w:spacing w:line="560" w:lineRule="exact"/>
        <w:jc w:val="center"/>
        <w:rPr>
          <w:rFonts w:ascii="仿宋_GB2312"/>
          <w:b/>
          <w:spacing w:val="6"/>
          <w:sz w:val="32"/>
          <w:szCs w:val="32"/>
        </w:rPr>
      </w:pPr>
      <w:r>
        <w:rPr>
          <w:rFonts w:hint="eastAsia" w:ascii="仿宋_GB2312"/>
          <w:b/>
          <w:spacing w:val="6"/>
          <w:sz w:val="32"/>
          <w:szCs w:val="32"/>
        </w:rPr>
        <w:t>表4-3 2019年度省工信发展专项资金绩效指标</w:t>
      </w:r>
      <w:r>
        <w:rPr>
          <w:rFonts w:hint="eastAsia" w:ascii="仿宋_GB2312" w:hAnsi="宋体"/>
          <w:b/>
          <w:spacing w:val="6"/>
          <w:sz w:val="32"/>
          <w:szCs w:val="32"/>
        </w:rPr>
        <w:t>完成情况表</w:t>
      </w:r>
    </w:p>
    <w:tbl>
      <w:tblPr>
        <w:tblStyle w:val="21"/>
        <w:tblW w:w="88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27"/>
        <w:gridCol w:w="2097"/>
        <w:gridCol w:w="184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一级指标</w:t>
            </w:r>
          </w:p>
        </w:tc>
        <w:tc>
          <w:tcPr>
            <w:tcW w:w="1527"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二级指标</w:t>
            </w:r>
          </w:p>
        </w:tc>
        <w:tc>
          <w:tcPr>
            <w:tcW w:w="2097"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三级指标</w:t>
            </w:r>
          </w:p>
        </w:tc>
        <w:tc>
          <w:tcPr>
            <w:tcW w:w="1843" w:type="dxa"/>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年度指标值</w:t>
            </w:r>
          </w:p>
        </w:tc>
        <w:tc>
          <w:tcPr>
            <w:tcW w:w="2175" w:type="dxa"/>
          </w:tcPr>
          <w:p>
            <w:pPr>
              <w:widowControl/>
              <w:jc w:val="center"/>
              <w:rPr>
                <w:rFonts w:ascii="黑体" w:hAnsi="黑体" w:eastAsia="黑体" w:cs="宋体"/>
                <w:kern w:val="0"/>
                <w:sz w:val="24"/>
              </w:rPr>
            </w:pPr>
            <w:r>
              <w:rPr>
                <w:rFonts w:hint="eastAsia" w:ascii="黑体" w:hAnsi="黑体" w:eastAsia="黑体" w:cs="宋体"/>
                <w:kern w:val="0"/>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restart"/>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产出指标</w:t>
            </w: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省本级数量指标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支持重点项目</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≥10个项目</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省对下数量指标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支持重点项目</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≥10个项目</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质量指标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工作检查</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符合要求</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时效指标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资金下达时间</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及时下达资金</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2019年及时下达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1" w:type="dxa"/>
            <w:vMerge w:val="continue"/>
            <w:vAlign w:val="center"/>
          </w:tcPr>
          <w:p>
            <w:pPr>
              <w:widowControl/>
              <w:jc w:val="left"/>
              <w:rPr>
                <w:rFonts w:ascii="仿宋_GB2312" w:cs="宋体" w:hAnsiTheme="minorEastAsia"/>
                <w:kern w:val="0"/>
                <w:sz w:val="24"/>
              </w:rPr>
            </w:pPr>
          </w:p>
        </w:tc>
        <w:tc>
          <w:tcPr>
            <w:tcW w:w="1527"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省本级成本指标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完成年度资金下达工作</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8640万元</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实际下达8557万元（属财政厅预算安排缩减）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1" w:type="dxa"/>
            <w:vMerge w:val="continue"/>
            <w:vAlign w:val="center"/>
          </w:tcPr>
          <w:p>
            <w:pPr>
              <w:widowControl/>
              <w:jc w:val="left"/>
              <w:rPr>
                <w:rFonts w:ascii="仿宋_GB2312" w:cs="宋体" w:hAnsiTheme="minorEastAsia"/>
                <w:kern w:val="0"/>
                <w:sz w:val="24"/>
              </w:rPr>
            </w:pPr>
          </w:p>
        </w:tc>
        <w:tc>
          <w:tcPr>
            <w:tcW w:w="1527"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省对下成本指标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完成年度资金下达工作</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11530万元</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11530万元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restart"/>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效益指标</w:t>
            </w: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经济效益指标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获支持项目建设完成后实现总投资</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≥安排的专项资金金额</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远超安排的专项资金金额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社会效益指标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改善民营经济及中小企业发展环境</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提升中小微企业发展能力和配套服务能力</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完成相关培训，提升效果明显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1" w:type="dxa"/>
            <w:vMerge w:val="continue"/>
            <w:vAlign w:val="center"/>
          </w:tcPr>
          <w:p>
            <w:pPr>
              <w:widowControl/>
              <w:jc w:val="left"/>
              <w:rPr>
                <w:rFonts w:ascii="仿宋_GB2312" w:cs="宋体" w:hAnsiTheme="minorEastAsia"/>
                <w:kern w:val="0"/>
                <w:sz w:val="24"/>
              </w:rPr>
            </w:pP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生态效益指标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提高能源利用效率</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支持企业节能技术改造</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支持企业节能技术改造生态效益显著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1"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满意度指标</w:t>
            </w:r>
          </w:p>
        </w:tc>
        <w:tc>
          <w:tcPr>
            <w:tcW w:w="152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服务对象满意度指标</w:t>
            </w:r>
          </w:p>
        </w:tc>
        <w:tc>
          <w:tcPr>
            <w:tcW w:w="2097"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资金支持对象满意度</w:t>
            </w:r>
          </w:p>
        </w:tc>
        <w:tc>
          <w:tcPr>
            <w:tcW w:w="1843" w:type="dxa"/>
            <w:shd w:val="clear" w:color="auto" w:fill="auto"/>
            <w:vAlign w:val="center"/>
          </w:tcPr>
          <w:p>
            <w:pPr>
              <w:widowControl/>
              <w:jc w:val="center"/>
              <w:rPr>
                <w:rFonts w:ascii="仿宋_GB2312" w:cs="宋体" w:hAnsiTheme="minorEastAsia"/>
                <w:kern w:val="0"/>
                <w:sz w:val="24"/>
              </w:rPr>
            </w:pPr>
            <w:r>
              <w:rPr>
                <w:rFonts w:hint="eastAsia" w:ascii="仿宋_GB2312" w:cs="宋体" w:hAnsiTheme="minorEastAsia"/>
                <w:kern w:val="0"/>
                <w:sz w:val="24"/>
              </w:rPr>
              <w:t>≥90%</w:t>
            </w:r>
          </w:p>
        </w:tc>
        <w:tc>
          <w:tcPr>
            <w:tcW w:w="2175" w:type="dxa"/>
            <w:vAlign w:val="center"/>
          </w:tcPr>
          <w:p>
            <w:pPr>
              <w:widowControl/>
              <w:jc w:val="center"/>
              <w:rPr>
                <w:rFonts w:ascii="仿宋_GB2312" w:cs="宋体" w:hAnsiTheme="minorEastAsia"/>
                <w:kern w:val="0"/>
                <w:sz w:val="24"/>
              </w:rPr>
            </w:pPr>
            <w:r>
              <w:rPr>
                <w:rFonts w:hint="eastAsia" w:ascii="仿宋_GB2312" w:cs="宋体" w:hAnsiTheme="minorEastAsia"/>
                <w:kern w:val="0"/>
                <w:sz w:val="24"/>
              </w:rPr>
              <w:t>满意度为93.69%</w:t>
            </w:r>
          </w:p>
        </w:tc>
      </w:tr>
    </w:tbl>
    <w:p>
      <w:pPr>
        <w:pStyle w:val="2"/>
        <w:spacing w:before="0" w:beforeAutospacing="0" w:after="0" w:afterAutospacing="0"/>
        <w:rPr>
          <w:b w:val="0"/>
          <w:spacing w:val="6"/>
        </w:rPr>
      </w:pPr>
      <w:bookmarkStart w:id="171" w:name="_Toc41420802"/>
      <w:bookmarkStart w:id="172" w:name="_Toc40873780"/>
      <w:bookmarkStart w:id="173" w:name="_Toc41419932"/>
      <w:r>
        <w:rPr>
          <w:rFonts w:hint="eastAsia"/>
          <w:b w:val="0"/>
          <w:spacing w:val="6"/>
        </w:rPr>
        <w:t>五、绩效评价情况分析</w:t>
      </w:r>
      <w:bookmarkEnd w:id="171"/>
      <w:bookmarkEnd w:id="172"/>
      <w:bookmarkEnd w:id="173"/>
    </w:p>
    <w:p>
      <w:pPr>
        <w:pStyle w:val="16"/>
        <w:ind w:firstLine="667"/>
        <w:rPr>
          <w:spacing w:val="6"/>
        </w:rPr>
      </w:pPr>
      <w:bookmarkStart w:id="174" w:name="_Toc40873781"/>
      <w:bookmarkStart w:id="175" w:name="_Toc41420803"/>
      <w:bookmarkStart w:id="176" w:name="_Toc41419933"/>
      <w:r>
        <w:rPr>
          <w:rFonts w:hint="eastAsia"/>
          <w:spacing w:val="6"/>
        </w:rPr>
        <w:t>（一）决策情况分析</w:t>
      </w:r>
      <w:bookmarkEnd w:id="174"/>
      <w:bookmarkEnd w:id="175"/>
      <w:bookmarkEnd w:id="176"/>
    </w:p>
    <w:p>
      <w:pPr>
        <w:spacing w:line="560" w:lineRule="exact"/>
        <w:ind w:firstLine="664" w:firstLineChars="200"/>
        <w:rPr>
          <w:rFonts w:ascii="仿宋_GB2312" w:hAnsi="黑体"/>
          <w:spacing w:val="6"/>
          <w:sz w:val="32"/>
          <w:szCs w:val="32"/>
        </w:rPr>
      </w:pPr>
      <w:r>
        <w:rPr>
          <w:rFonts w:hint="eastAsia" w:ascii="仿宋_GB2312" w:hAnsi="黑体"/>
          <w:spacing w:val="6"/>
          <w:sz w:val="32"/>
          <w:szCs w:val="32"/>
        </w:rPr>
        <w:t>决策指标分值12分，评价得分10.5分，得分率87.50%，绩效评价等级为“优”。具体得分情况见表5-1。</w:t>
      </w:r>
    </w:p>
    <w:p>
      <w:pPr>
        <w:spacing w:line="560" w:lineRule="exact"/>
        <w:jc w:val="center"/>
        <w:rPr>
          <w:rFonts w:ascii="仿宋_GB2312" w:hAnsi="仿宋"/>
          <w:b/>
          <w:sz w:val="32"/>
          <w:szCs w:val="32"/>
        </w:rPr>
      </w:pPr>
      <w:r>
        <w:rPr>
          <w:rFonts w:hint="eastAsia" w:ascii="仿宋_GB2312" w:hAnsi="仿宋"/>
          <w:b/>
          <w:sz w:val="32"/>
          <w:szCs w:val="32"/>
        </w:rPr>
        <w:t>表5-1 决策得分情况表</w:t>
      </w:r>
    </w:p>
    <w:tbl>
      <w:tblPr>
        <w:tblStyle w:val="21"/>
        <w:tblW w:w="8647" w:type="dxa"/>
        <w:tblInd w:w="108" w:type="dxa"/>
        <w:tblLayout w:type="autofit"/>
        <w:tblCellMar>
          <w:top w:w="0" w:type="dxa"/>
          <w:left w:w="108" w:type="dxa"/>
          <w:bottom w:w="0" w:type="dxa"/>
          <w:right w:w="108" w:type="dxa"/>
        </w:tblCellMar>
      </w:tblPr>
      <w:tblGrid>
        <w:gridCol w:w="709"/>
        <w:gridCol w:w="709"/>
        <w:gridCol w:w="1276"/>
        <w:gridCol w:w="708"/>
        <w:gridCol w:w="2393"/>
        <w:gridCol w:w="726"/>
        <w:gridCol w:w="850"/>
        <w:gridCol w:w="1276"/>
      </w:tblGrid>
      <w:tr>
        <w:tblPrEx>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一级指标</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二级指标</w:t>
            </w:r>
          </w:p>
        </w:tc>
        <w:tc>
          <w:tcPr>
            <w:tcW w:w="31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三级指标</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得分率（%）</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23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r>
      <w:tr>
        <w:tblPrEx>
          <w:tblCellMar>
            <w:top w:w="0" w:type="dxa"/>
            <w:left w:w="108" w:type="dxa"/>
            <w:bottom w:w="0" w:type="dxa"/>
            <w:right w:w="108" w:type="dxa"/>
          </w:tblCellMar>
        </w:tblPrEx>
        <w:trPr>
          <w:trHeight w:val="51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决策</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15</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项目立项</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4</w:t>
            </w: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立项依据充分性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立项程序规范性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绩效目标</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4</w:t>
            </w: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绩效目标合理性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50.00%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绩效指标明确性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1.5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75.00%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资金投入</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4</w:t>
            </w: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预算编制科学性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2</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资金分配合理性</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cs="宋体" w:hAnsiTheme="minorEastAsia"/>
                <w:kern w:val="0"/>
                <w:sz w:val="21"/>
                <w:szCs w:val="21"/>
              </w:rPr>
              <w:t>2</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2</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100.00%</w:t>
            </w:r>
          </w:p>
        </w:tc>
      </w:tr>
      <w:tr>
        <w:tblPrEx>
          <w:tblCellMar>
            <w:top w:w="0" w:type="dxa"/>
            <w:left w:w="108" w:type="dxa"/>
            <w:bottom w:w="0" w:type="dxa"/>
            <w:right w:w="108" w:type="dxa"/>
          </w:tblCellMar>
        </w:tblPrEx>
        <w:trPr>
          <w:trHeight w:val="270" w:hRule="atLeast"/>
        </w:trPr>
        <w:tc>
          <w:tcPr>
            <w:tcW w:w="579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cs="宋体" w:hAnsiTheme="minorEastAsia"/>
                <w:b/>
                <w:bCs/>
                <w:kern w:val="0"/>
                <w:sz w:val="21"/>
                <w:szCs w:val="21"/>
              </w:rPr>
            </w:pPr>
            <w:r>
              <w:rPr>
                <w:rFonts w:hint="eastAsia" w:ascii="仿宋_GB2312" w:cs="宋体" w:hAnsiTheme="minorEastAsia"/>
                <w:b/>
                <w:bCs/>
                <w:kern w:val="0"/>
                <w:sz w:val="21"/>
                <w:szCs w:val="21"/>
              </w:rPr>
              <w:t>合　计</w:t>
            </w:r>
          </w:p>
        </w:tc>
        <w:tc>
          <w:tcPr>
            <w:tcW w:w="72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b/>
                <w:bCs/>
                <w:kern w:val="0"/>
                <w:sz w:val="21"/>
                <w:szCs w:val="21"/>
              </w:rPr>
            </w:pPr>
            <w:r>
              <w:rPr>
                <w:rFonts w:hint="eastAsia" w:ascii="仿宋_GB2312" w:cs="宋体" w:hAnsiTheme="minorEastAsia"/>
                <w:b/>
                <w:bCs/>
                <w:kern w:val="0"/>
                <w:sz w:val="21"/>
                <w:szCs w:val="21"/>
              </w:rPr>
              <w:t>12</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b/>
                <w:bCs/>
                <w:kern w:val="0"/>
                <w:sz w:val="21"/>
                <w:szCs w:val="21"/>
              </w:rPr>
            </w:pPr>
            <w:r>
              <w:rPr>
                <w:rFonts w:hint="eastAsia" w:ascii="仿宋_GB2312" w:cs="宋体" w:hAnsiTheme="minorEastAsia"/>
                <w:b/>
                <w:bCs/>
                <w:kern w:val="0"/>
                <w:sz w:val="21"/>
                <w:szCs w:val="21"/>
              </w:rPr>
              <w:t>10.5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cs="宋体" w:hAnsiTheme="minorEastAsia"/>
                <w:b/>
                <w:bCs/>
                <w:kern w:val="0"/>
                <w:sz w:val="21"/>
                <w:szCs w:val="21"/>
              </w:rPr>
            </w:pPr>
            <w:r>
              <w:rPr>
                <w:rFonts w:hint="eastAsia" w:ascii="仿宋_GB2312" w:cs="宋体" w:hAnsiTheme="minorEastAsia"/>
                <w:b/>
                <w:bCs/>
                <w:kern w:val="0"/>
                <w:sz w:val="21"/>
                <w:szCs w:val="21"/>
              </w:rPr>
              <w:t>87.50%</w:t>
            </w:r>
          </w:p>
        </w:tc>
      </w:tr>
    </w:tbl>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1.项目立项</w:t>
      </w:r>
    </w:p>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（1）立项依据充分性</w:t>
      </w:r>
    </w:p>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省工信厅根据《</w:t>
      </w:r>
      <w:r>
        <w:rPr>
          <w:rFonts w:hint="eastAsia" w:ascii="仿宋_GB2312"/>
          <w:sz w:val="32"/>
          <w:szCs w:val="32"/>
        </w:rPr>
        <w:t>中共贵州省委贵州省人民政府〈关于实施工业强省战略的决定〉的通知》(黔党发</w:t>
      </w:r>
      <w:r>
        <w:rPr>
          <w:rFonts w:hint="eastAsia" w:ascii="宋体" w:hAnsi="宋体" w:eastAsia="宋体" w:cs="宋体"/>
          <w:sz w:val="32"/>
          <w:szCs w:val="32"/>
        </w:rPr>
        <w:t>〔</w:t>
      </w:r>
      <w:r>
        <w:rPr>
          <w:rFonts w:hint="eastAsia" w:ascii="仿宋_GB2312"/>
          <w:sz w:val="32"/>
          <w:szCs w:val="32"/>
        </w:rPr>
        <w:t>2010</w:t>
      </w:r>
      <w:r>
        <w:rPr>
          <w:rFonts w:hint="eastAsia" w:ascii="宋体" w:hAnsi="宋体" w:eastAsia="宋体" w:cs="宋体"/>
          <w:sz w:val="32"/>
          <w:szCs w:val="32"/>
        </w:rPr>
        <w:t>〕</w:t>
      </w:r>
      <w:r>
        <w:rPr>
          <w:rFonts w:hint="eastAsia" w:ascii="仿宋_GB2312"/>
          <w:sz w:val="32"/>
          <w:szCs w:val="32"/>
        </w:rPr>
        <w:t>12号)、</w:t>
      </w:r>
      <w:r>
        <w:rPr>
          <w:rFonts w:hint="eastAsia" w:ascii="仿宋_GB2312" w:hAnsi="微软雅黑" w:cs="宋体"/>
          <w:spacing w:val="6"/>
          <w:kern w:val="0"/>
          <w:sz w:val="32"/>
          <w:szCs w:val="32"/>
        </w:rPr>
        <w:t>《</w:t>
      </w:r>
      <w:r>
        <w:rPr>
          <w:rFonts w:hint="eastAsia" w:ascii="仿宋_GB2312"/>
          <w:sz w:val="32"/>
          <w:szCs w:val="32"/>
        </w:rPr>
        <w:t>中共贵州省委贵州省人民政府〈</w:t>
      </w:r>
      <w:r>
        <w:rPr>
          <w:rFonts w:hint="eastAsia" w:ascii="仿宋_GB2312" w:hAnsi="微软雅黑" w:cs="宋体"/>
          <w:spacing w:val="6"/>
          <w:kern w:val="0"/>
          <w:sz w:val="32"/>
          <w:szCs w:val="32"/>
        </w:rPr>
        <w:t>关于深入实施工业强省战略加快推进工业转型升级的意见</w:t>
      </w:r>
      <w:r>
        <w:rPr>
          <w:rFonts w:hint="eastAsia" w:ascii="仿宋_GB2312"/>
          <w:sz w:val="32"/>
          <w:szCs w:val="32"/>
        </w:rPr>
        <w:t>〉</w:t>
      </w:r>
      <w:r>
        <w:rPr>
          <w:rFonts w:hint="eastAsia" w:ascii="仿宋_GB2312" w:hAnsi="微软雅黑" w:cs="宋体"/>
          <w:spacing w:val="6"/>
          <w:kern w:val="0"/>
          <w:sz w:val="32"/>
          <w:szCs w:val="32"/>
        </w:rPr>
        <w:t>》（黔党发﹝2013﹞20号）等政策和省委省政府的有关决定，设立工信发展专项资金，符合国家法律法规、国民经济发展规划和相关政策，符合行业发展规划和政策要求。</w:t>
      </w:r>
    </w:p>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工信发展专项资金立项与省工信厅部门职责</w:t>
      </w:r>
      <w:r>
        <w:rPr>
          <w:rFonts w:ascii="仿宋_GB2312" w:hAnsi="微软雅黑" w:cs="宋体"/>
          <w:spacing w:val="6"/>
          <w:kern w:val="0"/>
          <w:sz w:val="32"/>
          <w:szCs w:val="32"/>
        </w:rPr>
        <w:t>相符，属于履职所需。</w:t>
      </w:r>
      <w:r>
        <w:rPr>
          <w:rFonts w:hint="eastAsia" w:ascii="仿宋_GB2312" w:hAnsi="微软雅黑" w:cs="宋体"/>
          <w:spacing w:val="6"/>
          <w:kern w:val="0"/>
          <w:sz w:val="32"/>
          <w:szCs w:val="32"/>
        </w:rPr>
        <w:t>工作组没有发现相关部门及省工信厅内部的其他专项与工信发展专项有重复的情况。</w:t>
      </w:r>
    </w:p>
    <w:p>
      <w:pPr>
        <w:spacing w:line="560" w:lineRule="exact"/>
        <w:ind w:left="150" w:leftChars="50"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（2）立项程序规范性</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工信发展专项资金按照省财政厅的规定，在2018年9月，按零基预算管理的要求，向省财政厅填报了《贵州省工业和信息化发展专项资金设立申请书》，是按规定的程序申请设立，符合相关要求。</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2.绩效目标</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（1）绩效目标合理性</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工信发展专项资金有绩效目标，绩效目标与实际工作内容具有相关性。但目标相对宏观，在判断预期产出效益和效果是否符合正常业绩水平上，不能很好进行测量和评判。</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（2）绩效指标明确性</w:t>
      </w:r>
    </w:p>
    <w:p>
      <w:pPr>
        <w:spacing w:line="560" w:lineRule="exact"/>
        <w:ind w:left="150" w:leftChars="50" w:firstLine="640" w:firstLineChars="200"/>
        <w:rPr>
          <w:rFonts w:ascii="仿宋_GB2312" w:hAnsi="仿宋"/>
          <w:sz w:val="32"/>
          <w:szCs w:val="32"/>
        </w:rPr>
      </w:pPr>
      <w:r>
        <w:rPr>
          <w:rFonts w:hint="eastAsia" w:ascii="仿宋_GB2312" w:hAnsi="仿宋"/>
          <w:sz w:val="32"/>
          <w:szCs w:val="32"/>
        </w:rPr>
        <w:t>工信发展专项资金有具体细化的绩效指标，但个别绩效指标值不易衡量专</w:t>
      </w:r>
      <w:r>
        <w:rPr>
          <w:rFonts w:hint="eastAsia" w:ascii="仿宋_GB2312" w:hAnsi="黑体"/>
          <w:sz w:val="32"/>
          <w:szCs w:val="32"/>
        </w:rPr>
        <w:t>项资金产生的效益，在考虑专项资金引导、撬动、</w:t>
      </w:r>
      <w:r>
        <w:rPr>
          <w:rFonts w:hint="eastAsia" w:ascii="仿宋_GB2312"/>
          <w:spacing w:val="6"/>
          <w:sz w:val="32"/>
          <w:szCs w:val="32"/>
        </w:rPr>
        <w:t>带动社会资本的作用上有不足，与绩效目标对应性还不强。</w:t>
      </w:r>
    </w:p>
    <w:p>
      <w:pPr>
        <w:spacing w:line="560" w:lineRule="exact"/>
        <w:ind w:left="150" w:leftChars="50" w:firstLine="666" w:firstLineChars="200"/>
        <w:rPr>
          <w:rFonts w:ascii="仿宋_GB2312" w:hAnsi="微软雅黑" w:cs="宋体"/>
          <w:b/>
          <w:spacing w:val="6"/>
          <w:kern w:val="0"/>
          <w:sz w:val="32"/>
          <w:szCs w:val="32"/>
        </w:rPr>
      </w:pPr>
      <w:r>
        <w:rPr>
          <w:rFonts w:hint="eastAsia" w:ascii="仿宋_GB2312" w:hAnsi="微软雅黑" w:cs="宋体"/>
          <w:b/>
          <w:spacing w:val="6"/>
          <w:kern w:val="0"/>
          <w:sz w:val="32"/>
          <w:szCs w:val="32"/>
        </w:rPr>
        <w:t>3.资金投入</w:t>
      </w:r>
    </w:p>
    <w:p>
      <w:pPr>
        <w:spacing w:line="560" w:lineRule="exact"/>
        <w:ind w:left="150" w:leftChars="50"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（1）预算编制科学性</w:t>
      </w:r>
    </w:p>
    <w:p>
      <w:pPr>
        <w:spacing w:line="560" w:lineRule="exact"/>
        <w:ind w:left="150" w:leftChars="50" w:firstLine="664" w:firstLineChars="200"/>
        <w:rPr>
          <w:rFonts w:ascii="仿宋_GB2312" w:hAnsi="仿宋"/>
          <w:spacing w:val="6"/>
          <w:sz w:val="32"/>
          <w:szCs w:val="32"/>
        </w:rPr>
      </w:pPr>
      <w:r>
        <w:rPr>
          <w:rFonts w:hint="eastAsia" w:ascii="仿宋_GB2312" w:hAnsi="仿宋"/>
          <w:spacing w:val="6"/>
          <w:sz w:val="32"/>
          <w:szCs w:val="32"/>
        </w:rPr>
        <w:t>省工信发展专项资金的预算编制经过相关论证，预算内容与项目内容相匹配，预算额度测算依据充分，按标准编制，在预算确定的项目资金量与工作任务相匹配。</w:t>
      </w:r>
    </w:p>
    <w:p>
      <w:pPr>
        <w:spacing w:line="560" w:lineRule="exact"/>
        <w:ind w:left="150" w:leftChars="50" w:firstLine="664" w:firstLineChars="200"/>
        <w:rPr>
          <w:rFonts w:ascii="仿宋_GB2312" w:hAnsi="仿宋"/>
          <w:spacing w:val="6"/>
          <w:sz w:val="32"/>
          <w:szCs w:val="32"/>
        </w:rPr>
      </w:pPr>
      <w:r>
        <w:rPr>
          <w:rFonts w:hint="eastAsia" w:ascii="仿宋_GB2312" w:hAnsi="仿宋"/>
          <w:spacing w:val="6"/>
          <w:sz w:val="32"/>
          <w:szCs w:val="32"/>
        </w:rPr>
        <w:t>（2）资金分配合理性</w:t>
      </w:r>
    </w:p>
    <w:p>
      <w:pPr>
        <w:spacing w:line="560" w:lineRule="exact"/>
        <w:ind w:left="150" w:leftChars="50" w:firstLine="664" w:firstLineChars="200"/>
        <w:rPr>
          <w:rFonts w:ascii="仿宋_GB2312" w:hAnsi="仿宋"/>
          <w:spacing w:val="6"/>
          <w:sz w:val="32"/>
          <w:szCs w:val="32"/>
        </w:rPr>
      </w:pPr>
      <w:r>
        <w:rPr>
          <w:rFonts w:hint="eastAsia" w:ascii="仿宋_GB2312" w:hAnsi="仿宋"/>
          <w:spacing w:val="6"/>
          <w:sz w:val="32"/>
          <w:szCs w:val="32"/>
        </w:rPr>
        <w:t>省工信厅对2019年度专项资金按照“公正公开、注重绩效、闭环管理、统筹兼顾、资金基金联动”原则进行分配使用管理，每次资金的分配都经省工信厅厅长办公会、党组会议议定，资金分配的额度相对合理，与项目单位和项目所在地的实际相适应。</w:t>
      </w:r>
    </w:p>
    <w:p>
      <w:pPr>
        <w:spacing w:line="560" w:lineRule="exact"/>
        <w:ind w:left="150" w:leftChars="50" w:firstLine="666" w:firstLineChars="200"/>
        <w:rPr>
          <w:b/>
          <w:spacing w:val="6"/>
        </w:rPr>
      </w:pPr>
      <w:r>
        <w:rPr>
          <w:rFonts w:hint="eastAsia" w:ascii="仿宋_GB2312" w:hAnsi="仿宋"/>
          <w:b/>
          <w:spacing w:val="6"/>
          <w:sz w:val="32"/>
          <w:szCs w:val="32"/>
        </w:rPr>
        <w:t>评价认为：省工信发展专项资金符合国家法律法规及相关政策、符合行业发展规划、符合省委省政府决策部署，项目属于省工信厅履职所需，立项依据充分，立项程序规范。但其绩效目标设立相对宏观，个别绩效指标的指标值可衡量性不强。</w:t>
      </w:r>
    </w:p>
    <w:p>
      <w:pPr>
        <w:pStyle w:val="16"/>
        <w:ind w:firstLine="667"/>
        <w:rPr>
          <w:spacing w:val="6"/>
        </w:rPr>
      </w:pPr>
      <w:bookmarkStart w:id="177" w:name="_Toc41419934"/>
      <w:bookmarkStart w:id="178" w:name="_Toc40873782"/>
      <w:bookmarkStart w:id="179" w:name="_Toc41420804"/>
      <w:r>
        <w:rPr>
          <w:rFonts w:hint="eastAsia"/>
          <w:spacing w:val="6"/>
        </w:rPr>
        <w:t>（二）过程情况分析</w:t>
      </w:r>
      <w:bookmarkEnd w:id="177"/>
      <w:bookmarkEnd w:id="178"/>
      <w:bookmarkEnd w:id="179"/>
    </w:p>
    <w:p>
      <w:pPr>
        <w:spacing w:line="560" w:lineRule="exact"/>
        <w:ind w:firstLine="664" w:firstLineChars="200"/>
        <w:rPr>
          <w:rFonts w:ascii="仿宋_GB2312" w:hAnsi="仿宋"/>
          <w:spacing w:val="6"/>
          <w:sz w:val="32"/>
          <w:szCs w:val="32"/>
        </w:rPr>
      </w:pPr>
      <w:r>
        <w:rPr>
          <w:rFonts w:hint="eastAsia" w:ascii="仿宋_GB2312" w:hAnsi="仿宋"/>
          <w:spacing w:val="6"/>
          <w:sz w:val="32"/>
          <w:szCs w:val="32"/>
        </w:rPr>
        <w:t>过程指标分值20分，评价得分17分，得分率85.00%，绩效评价等级为“良”。具体得分情况见表5-2。</w:t>
      </w:r>
    </w:p>
    <w:p>
      <w:pPr>
        <w:spacing w:line="560" w:lineRule="exact"/>
        <w:jc w:val="center"/>
        <w:rPr>
          <w:rFonts w:ascii="仿宋_GB2312" w:hAnsi="仿宋"/>
          <w:b/>
          <w:sz w:val="32"/>
          <w:szCs w:val="32"/>
        </w:rPr>
      </w:pPr>
      <w:r>
        <w:rPr>
          <w:rFonts w:hint="eastAsia" w:ascii="仿宋_GB2312" w:hAnsi="仿宋"/>
          <w:b/>
          <w:sz w:val="32"/>
          <w:szCs w:val="32"/>
        </w:rPr>
        <w:t>表5-2过程得分情况表</w:t>
      </w:r>
    </w:p>
    <w:tbl>
      <w:tblPr>
        <w:tblStyle w:val="21"/>
        <w:tblW w:w="8647" w:type="dxa"/>
        <w:tblInd w:w="108" w:type="dxa"/>
        <w:tblLayout w:type="autofit"/>
        <w:tblCellMar>
          <w:top w:w="0" w:type="dxa"/>
          <w:left w:w="108" w:type="dxa"/>
          <w:bottom w:w="0" w:type="dxa"/>
          <w:right w:w="108" w:type="dxa"/>
        </w:tblCellMar>
      </w:tblPr>
      <w:tblGrid>
        <w:gridCol w:w="709"/>
        <w:gridCol w:w="709"/>
        <w:gridCol w:w="1276"/>
        <w:gridCol w:w="708"/>
        <w:gridCol w:w="2393"/>
        <w:gridCol w:w="726"/>
        <w:gridCol w:w="850"/>
        <w:gridCol w:w="1276"/>
      </w:tblGrid>
      <w:tr>
        <w:tblPrEx>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一级指标</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二级指标</w:t>
            </w:r>
          </w:p>
        </w:tc>
        <w:tc>
          <w:tcPr>
            <w:tcW w:w="31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三级指标</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得分率（%）</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23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r>
      <w:tr>
        <w:tblPrEx>
          <w:tblCellMar>
            <w:top w:w="0" w:type="dxa"/>
            <w:left w:w="108" w:type="dxa"/>
            <w:bottom w:w="0" w:type="dxa"/>
            <w:right w:w="108" w:type="dxa"/>
          </w:tblCellMar>
        </w:tblPrEx>
        <w:trPr>
          <w:trHeight w:val="51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过程</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20</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资金管理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12</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资金拨付率</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4</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预算执行率</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资金使用合规性</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75.00%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组织实施</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8</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管理制度健全性</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3</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75.00%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制度执行有效性</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3</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楷体_GB2312" w:hAnsi="宋体" w:eastAsia="楷体_GB2312" w:cs="宋体"/>
                <w:color w:val="000000"/>
                <w:sz w:val="21"/>
                <w:szCs w:val="21"/>
              </w:rPr>
            </w:pPr>
            <w:r>
              <w:rPr>
                <w:rFonts w:hint="eastAsia" w:ascii="楷体_GB2312" w:eastAsia="楷体_GB2312"/>
                <w:color w:val="000000"/>
                <w:sz w:val="21"/>
                <w:szCs w:val="21"/>
              </w:rPr>
              <w:t>75.00%</w:t>
            </w:r>
          </w:p>
        </w:tc>
      </w:tr>
      <w:tr>
        <w:tblPrEx>
          <w:tblCellMar>
            <w:top w:w="0" w:type="dxa"/>
            <w:left w:w="108" w:type="dxa"/>
            <w:bottom w:w="0" w:type="dxa"/>
            <w:right w:w="108" w:type="dxa"/>
          </w:tblCellMar>
        </w:tblPrEx>
        <w:trPr>
          <w:trHeight w:val="270" w:hRule="atLeast"/>
        </w:trPr>
        <w:tc>
          <w:tcPr>
            <w:tcW w:w="579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合　计</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20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17</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85.00%</w:t>
            </w:r>
          </w:p>
        </w:tc>
      </w:tr>
    </w:tbl>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1.资金管理</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（1）资金拨付率</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2019年度工信发展专项资金49917万元省工信厅及时进行了全额拨付，资金拨付率为100%。</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（2）预算执行率</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2019年度工信发展专项资金实际拨付49917万元，与年初申报预算一致，完成了省财政厅“6月底前资金预算执行进度达50%，9月底前资金预算执行进度达90%”的工作要求，预算执行率为100.00%。</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（3）资金使用合规性</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现场勘查的25个项目，大部分项目实施单位在资金使用时，对资金的拨付有完整的审批程度和手续，支出符合预算批复或合同规定的用途，工作组现场核实时没有发现有截留、挤占、挪用、虚列支出等情况。但有5个项目实施单位存在未单独核算情况，其中，遵义金紫阳食品有限公司“年产40000吨特色面制品及配套特色调味料食品升级改造项目”的专项资金支持方式为贴息，企业账务处理未体现贴息补贴方式的账务处理要求。另外1个项目资金入账方式不规范，为贵州绿野芳田有限公司“安顺市西秀区‘菜单式’综合农业示范区—绿色蔬菜深加工建设项目”，县级财政是以企业借款的方式将资金拨付给企业。</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2.组织实施</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（1）管理制度健全性</w:t>
      </w:r>
    </w:p>
    <w:p>
      <w:pPr>
        <w:tabs>
          <w:tab w:val="left" w:pos="6525"/>
        </w:tabs>
        <w:spacing w:line="560" w:lineRule="exact"/>
        <w:ind w:firstLine="640" w:firstLineChars="200"/>
        <w:rPr>
          <w:rFonts w:ascii="仿宋_GB2312" w:hAnsi="微软雅黑"/>
          <w:spacing w:val="6"/>
          <w:sz w:val="32"/>
          <w:szCs w:val="32"/>
        </w:rPr>
      </w:pPr>
      <w:r>
        <w:rPr>
          <w:rFonts w:hint="eastAsia" w:ascii="仿宋_GB2312"/>
          <w:sz w:val="32"/>
          <w:szCs w:val="32"/>
        </w:rPr>
        <w:t>省工信厅在2019年</w:t>
      </w:r>
      <w:r>
        <w:rPr>
          <w:rFonts w:hint="eastAsia"/>
          <w:sz w:val="32"/>
          <w:szCs w:val="32"/>
        </w:rPr>
        <w:t>度成立了部门预算绩效管理领导小组，并制定印发了《贵州省工业和信息化发展专项资金预算绩效管理制度》《省工业和信息化发展专项资金预算绩效管理方案》等绩效管理制度。省工信厅</w:t>
      </w:r>
      <w:r>
        <w:rPr>
          <w:rFonts w:hint="eastAsia" w:ascii="仿宋_GB2312" w:hAnsi="微软雅黑"/>
          <w:spacing w:val="6"/>
          <w:sz w:val="32"/>
          <w:szCs w:val="32"/>
        </w:rPr>
        <w:t>有完备的财务管理制度，2019年新下发了《贵州省工业和信息化发展专项资金管理办法》，近年来先后建立全了《项目申报指南》《贵州省工业和信息化发展专项资金项目评审暂行办法》《关于做好省工业和信息化发展专项资金项目竣工验收工作的通知》《贵州省经济和信息化委员会关于加强省工业和信息化发展专项资金安排监督管理工作的暂行规定》等制度，专项资金项目管理的制度较为健全。</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现场勘查的25个项目实施单位中，有22个项目实施单位建立有合法、合规、完整的财务和项目管理制度。但有两个项目实施单位没有建立财务和业务管理制度，有1个项目实施单位只有财务制度，没有项目管理制度。</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（2）制度执行有效性</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省工信发展专项资金项目通过省工信厅官方网站上的专项资金管理系统管理进行网上申报，建立了专项资金项目库和动态管理机制。</w:t>
      </w:r>
    </w:p>
    <w:p>
      <w:pPr>
        <w:tabs>
          <w:tab w:val="left" w:pos="6525"/>
        </w:tabs>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现场抽查的项目均遵守相关法律法规和相关管理规定，项目组织实施过程的资料都齐全和及时进行了归档，项目实施的人员条件、场地设备、信息支撑等均得到落实。但有2个项目存在建设时间延期但未按程序报备，调整手续不完备情况，项目的组织验收还存在不足。</w:t>
      </w:r>
    </w:p>
    <w:p>
      <w:pPr>
        <w:tabs>
          <w:tab w:val="left" w:pos="6525"/>
        </w:tabs>
        <w:spacing w:line="560" w:lineRule="exact"/>
        <w:ind w:firstLine="666" w:firstLineChars="200"/>
        <w:rPr>
          <w:rFonts w:ascii="仿宋_GB2312"/>
          <w:b/>
          <w:spacing w:val="6"/>
          <w:sz w:val="32"/>
          <w:szCs w:val="32"/>
        </w:rPr>
      </w:pPr>
      <w:r>
        <w:rPr>
          <w:rFonts w:hint="eastAsia" w:ascii="仿宋_GB2312" w:hAnsi="黑体"/>
          <w:b/>
          <w:spacing w:val="6"/>
          <w:sz w:val="32"/>
          <w:szCs w:val="32"/>
        </w:rPr>
        <w:t>评价认为：</w:t>
      </w:r>
      <w:r>
        <w:rPr>
          <w:rFonts w:hint="eastAsia" w:ascii="仿宋_GB2312" w:hAnsi="微软雅黑"/>
          <w:b/>
          <w:spacing w:val="6"/>
          <w:sz w:val="32"/>
          <w:szCs w:val="32"/>
        </w:rPr>
        <w:t>专项资金拨付率和预算执行率均较高，资金使用合规性上总体较好，省级层面的管理制度较健全性。但项目实施单位资金核算，财务管理、项目调整备案、项目验收等制度执行有效性上还有不足。</w:t>
      </w:r>
    </w:p>
    <w:p>
      <w:pPr>
        <w:pStyle w:val="16"/>
        <w:ind w:firstLine="664"/>
        <w:rPr>
          <w:b w:val="0"/>
          <w:spacing w:val="6"/>
        </w:rPr>
      </w:pPr>
      <w:bookmarkStart w:id="180" w:name="_Toc40873783"/>
      <w:bookmarkStart w:id="181" w:name="_Toc41419935"/>
      <w:bookmarkStart w:id="182" w:name="_Toc41420805"/>
      <w:r>
        <w:rPr>
          <w:rFonts w:hint="eastAsia"/>
          <w:b w:val="0"/>
          <w:spacing w:val="6"/>
        </w:rPr>
        <w:t>（三）产出情况分析</w:t>
      </w:r>
      <w:bookmarkEnd w:id="180"/>
      <w:bookmarkEnd w:id="181"/>
      <w:bookmarkEnd w:id="182"/>
    </w:p>
    <w:p>
      <w:pPr>
        <w:spacing w:line="560" w:lineRule="exact"/>
        <w:ind w:firstLine="664" w:firstLineChars="200"/>
        <w:rPr>
          <w:rFonts w:ascii="仿宋_GB2312" w:hAnsi="仿宋"/>
          <w:b/>
          <w:sz w:val="32"/>
          <w:szCs w:val="32"/>
        </w:rPr>
      </w:pPr>
      <w:r>
        <w:rPr>
          <w:rFonts w:hint="eastAsia" w:ascii="仿宋_GB2312" w:hAnsi="微软雅黑"/>
          <w:spacing w:val="6"/>
          <w:sz w:val="32"/>
          <w:szCs w:val="32"/>
        </w:rPr>
        <w:t>产出指标分值24分，评价得分19.99分，得分率83.29%，绩效评价等级为“良”。具体得分情况见表5-3。</w:t>
      </w:r>
    </w:p>
    <w:p>
      <w:pPr>
        <w:spacing w:line="560" w:lineRule="exact"/>
        <w:jc w:val="center"/>
        <w:rPr>
          <w:rFonts w:ascii="仿宋_GB2312" w:hAnsi="仿宋"/>
          <w:b/>
          <w:sz w:val="32"/>
          <w:szCs w:val="32"/>
        </w:rPr>
      </w:pPr>
      <w:r>
        <w:rPr>
          <w:rFonts w:hint="eastAsia" w:ascii="仿宋_GB2312" w:hAnsi="仿宋"/>
          <w:b/>
          <w:sz w:val="32"/>
          <w:szCs w:val="32"/>
        </w:rPr>
        <w:t>表5-3 产出得分情况表</w:t>
      </w:r>
    </w:p>
    <w:tbl>
      <w:tblPr>
        <w:tblStyle w:val="21"/>
        <w:tblW w:w="8647" w:type="dxa"/>
        <w:tblInd w:w="108" w:type="dxa"/>
        <w:tblLayout w:type="autofit"/>
        <w:tblCellMar>
          <w:top w:w="0" w:type="dxa"/>
          <w:left w:w="108" w:type="dxa"/>
          <w:bottom w:w="0" w:type="dxa"/>
          <w:right w:w="108" w:type="dxa"/>
        </w:tblCellMar>
      </w:tblPr>
      <w:tblGrid>
        <w:gridCol w:w="709"/>
        <w:gridCol w:w="709"/>
        <w:gridCol w:w="1276"/>
        <w:gridCol w:w="708"/>
        <w:gridCol w:w="2393"/>
        <w:gridCol w:w="726"/>
        <w:gridCol w:w="850"/>
        <w:gridCol w:w="1276"/>
      </w:tblGrid>
      <w:tr>
        <w:tblPrEx>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一级指标</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二级指标</w:t>
            </w:r>
          </w:p>
        </w:tc>
        <w:tc>
          <w:tcPr>
            <w:tcW w:w="31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三级指标</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得分率（%）</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23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kern w:val="0"/>
                <w:sz w:val="21"/>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Cs/>
                <w:kern w:val="0"/>
                <w:sz w:val="21"/>
                <w:szCs w:val="21"/>
              </w:rPr>
            </w:pPr>
          </w:p>
        </w:tc>
      </w:tr>
      <w:tr>
        <w:tblPrEx>
          <w:tblCellMar>
            <w:top w:w="0" w:type="dxa"/>
            <w:left w:w="108" w:type="dxa"/>
            <w:bottom w:w="0" w:type="dxa"/>
            <w:right w:w="108" w:type="dxa"/>
          </w:tblCellMar>
        </w:tblPrEx>
        <w:trPr>
          <w:trHeight w:val="51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产出</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24</w:t>
            </w:r>
          </w:p>
        </w:tc>
        <w:tc>
          <w:tcPr>
            <w:tcW w:w="127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产出数量</w:t>
            </w:r>
          </w:p>
        </w:tc>
        <w:tc>
          <w:tcPr>
            <w:tcW w:w="70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8</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实际完成率</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产出质量</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8</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质量达标率</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4.95</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61.88%</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产出时效</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8</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完成及时性</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7.04</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88.00%</w:t>
            </w:r>
          </w:p>
        </w:tc>
      </w:tr>
      <w:tr>
        <w:tblPrEx>
          <w:tblCellMar>
            <w:top w:w="0" w:type="dxa"/>
            <w:left w:w="108" w:type="dxa"/>
            <w:bottom w:w="0" w:type="dxa"/>
            <w:right w:w="108" w:type="dxa"/>
          </w:tblCellMar>
        </w:tblPrEx>
        <w:trPr>
          <w:trHeight w:val="270" w:hRule="atLeast"/>
        </w:trPr>
        <w:tc>
          <w:tcPr>
            <w:tcW w:w="579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合　计</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b/>
                <w:bCs/>
                <w:sz w:val="21"/>
                <w:szCs w:val="21"/>
              </w:rPr>
            </w:pPr>
            <w:r>
              <w:rPr>
                <w:rFonts w:hint="eastAsia" w:ascii="仿宋_GB2312" w:hAnsiTheme="minorEastAsia"/>
                <w:b/>
                <w:bCs/>
                <w:sz w:val="21"/>
                <w:szCs w:val="21"/>
              </w:rPr>
              <w:t>24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b/>
                <w:bCs/>
                <w:sz w:val="21"/>
                <w:szCs w:val="21"/>
              </w:rPr>
            </w:pPr>
            <w:r>
              <w:rPr>
                <w:rFonts w:hint="eastAsia" w:ascii="仿宋_GB2312"/>
                <w:b/>
                <w:bCs/>
                <w:sz w:val="21"/>
                <w:szCs w:val="21"/>
              </w:rPr>
              <w:t>19.99</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hAnsi="宋体" w:cs="宋体"/>
                <w:sz w:val="21"/>
                <w:szCs w:val="21"/>
              </w:rPr>
            </w:pPr>
            <w:r>
              <w:rPr>
                <w:rFonts w:hint="eastAsia" w:ascii="仿宋_GB2312"/>
                <w:sz w:val="21"/>
                <w:szCs w:val="21"/>
              </w:rPr>
              <w:t>83.29%</w:t>
            </w:r>
          </w:p>
        </w:tc>
      </w:tr>
    </w:tbl>
    <w:p>
      <w:pPr>
        <w:spacing w:line="560" w:lineRule="exact"/>
        <w:ind w:firstLine="664" w:firstLineChars="200"/>
        <w:rPr>
          <w:rFonts w:ascii="仿宋_GB2312" w:hAnsi="微软雅黑" w:cs="宋体"/>
          <w:spacing w:val="6"/>
          <w:kern w:val="0"/>
          <w:sz w:val="32"/>
          <w:szCs w:val="32"/>
        </w:rPr>
      </w:pPr>
      <w:r>
        <w:rPr>
          <w:rFonts w:hint="eastAsia" w:ascii="仿宋_GB2312" w:hAnsi="微软雅黑" w:cs="宋体"/>
          <w:spacing w:val="6"/>
          <w:kern w:val="0"/>
          <w:sz w:val="32"/>
          <w:szCs w:val="32"/>
        </w:rPr>
        <w:t>1.产出数量</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2019年度专项资金产出数量，实际完成率=（实际支持项目数/计划支持项目数），计算结果实际完成率为100%。</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2.产出质量</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2019年度专项资金产出质量，质量达标率=（质量达标项目数/实际支持项目数）×100%。评分以现场核查项目与非现场核查项目资金占比为权重计算，计算结果质量达标率为61.88%。</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3.产出时效</w:t>
      </w:r>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2019年度专项资金产出时效，完成及时率=实际完成时间/计划完成时间。评分以现场调查时获得的数据进行计算。本次现场勘查抽样的25个项目，实际按计划完成和按计划正在实施的项目有23个，完成及时率为92.00%。</w:t>
      </w:r>
    </w:p>
    <w:p>
      <w:pPr>
        <w:spacing w:line="560" w:lineRule="exact"/>
        <w:ind w:firstLine="666" w:firstLineChars="200"/>
        <w:rPr>
          <w:rFonts w:ascii="仿宋_GB2312" w:hAnsi="微软雅黑"/>
          <w:b/>
          <w:spacing w:val="6"/>
          <w:sz w:val="32"/>
          <w:szCs w:val="32"/>
        </w:rPr>
      </w:pPr>
      <w:r>
        <w:rPr>
          <w:rFonts w:hint="eastAsia" w:ascii="仿宋_GB2312" w:hAnsi="微软雅黑"/>
          <w:b/>
          <w:spacing w:val="6"/>
          <w:sz w:val="32"/>
          <w:szCs w:val="32"/>
        </w:rPr>
        <w:t>评价认为：省工信发展专项资金对支持的项目做到100%无遗漏，产出时效完成情况也相对较好。但在产出质量方面验收率存在差距，2019年度应验收的项目有10个，有1个项目已完成验收，其他项目正在提请验收过程中。</w:t>
      </w:r>
    </w:p>
    <w:p>
      <w:pPr>
        <w:pStyle w:val="16"/>
        <w:ind w:firstLine="664"/>
        <w:rPr>
          <w:b w:val="0"/>
          <w:spacing w:val="6"/>
        </w:rPr>
      </w:pPr>
      <w:bookmarkStart w:id="183" w:name="_Toc41420806"/>
      <w:bookmarkStart w:id="184" w:name="_Toc41419936"/>
      <w:bookmarkStart w:id="185" w:name="_Toc40873784"/>
      <w:r>
        <w:rPr>
          <w:rFonts w:hint="eastAsia"/>
          <w:b w:val="0"/>
          <w:spacing w:val="6"/>
        </w:rPr>
        <w:t>（四）效益情况分析</w:t>
      </w:r>
      <w:bookmarkEnd w:id="183"/>
      <w:bookmarkEnd w:id="184"/>
      <w:bookmarkEnd w:id="185"/>
    </w:p>
    <w:p>
      <w:pPr>
        <w:spacing w:line="560" w:lineRule="exact"/>
        <w:ind w:firstLine="664" w:firstLineChars="200"/>
        <w:rPr>
          <w:rFonts w:ascii="仿宋_GB2312" w:hAnsi="微软雅黑"/>
          <w:spacing w:val="6"/>
          <w:sz w:val="32"/>
          <w:szCs w:val="32"/>
        </w:rPr>
      </w:pPr>
      <w:r>
        <w:rPr>
          <w:rFonts w:hint="eastAsia" w:ascii="仿宋_GB2312" w:hAnsi="微软雅黑"/>
          <w:spacing w:val="6"/>
          <w:sz w:val="32"/>
          <w:szCs w:val="32"/>
        </w:rPr>
        <w:t>效果指标分值44分，评价得分44分，得分率100%，绩效评价等级为“优”。具体得分情况见表5-4。</w:t>
      </w:r>
    </w:p>
    <w:p>
      <w:pPr>
        <w:spacing w:line="560" w:lineRule="exact"/>
        <w:jc w:val="center"/>
        <w:rPr>
          <w:rFonts w:ascii="仿宋_GB2312" w:hAnsi="仿宋"/>
          <w:b/>
          <w:sz w:val="32"/>
          <w:szCs w:val="32"/>
        </w:rPr>
      </w:pPr>
      <w:r>
        <w:rPr>
          <w:rFonts w:hint="eastAsia" w:ascii="仿宋_GB2312" w:hAnsi="仿宋"/>
          <w:b/>
          <w:sz w:val="32"/>
          <w:szCs w:val="32"/>
        </w:rPr>
        <w:t>表5-4 效益得分情况表</w:t>
      </w:r>
    </w:p>
    <w:tbl>
      <w:tblPr>
        <w:tblStyle w:val="21"/>
        <w:tblW w:w="8647" w:type="dxa"/>
        <w:tblInd w:w="108" w:type="dxa"/>
        <w:tblLayout w:type="autofit"/>
        <w:tblCellMar>
          <w:top w:w="0" w:type="dxa"/>
          <w:left w:w="108" w:type="dxa"/>
          <w:bottom w:w="0" w:type="dxa"/>
          <w:right w:w="108" w:type="dxa"/>
        </w:tblCellMar>
      </w:tblPr>
      <w:tblGrid>
        <w:gridCol w:w="709"/>
        <w:gridCol w:w="709"/>
        <w:gridCol w:w="1276"/>
        <w:gridCol w:w="708"/>
        <w:gridCol w:w="2393"/>
        <w:gridCol w:w="726"/>
        <w:gridCol w:w="850"/>
        <w:gridCol w:w="1276"/>
      </w:tblGrid>
      <w:tr>
        <w:tblPrEx>
          <w:tblCellMar>
            <w:top w:w="0" w:type="dxa"/>
            <w:left w:w="108" w:type="dxa"/>
            <w:bottom w:w="0" w:type="dxa"/>
            <w:right w:w="108" w:type="dxa"/>
          </w:tblCellMar>
        </w:tblPrEx>
        <w:trPr>
          <w:trHeight w:val="270" w:hRule="atLeast"/>
        </w:trPr>
        <w:tc>
          <w:tcPr>
            <w:tcW w:w="141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一级指标</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二级指标</w:t>
            </w:r>
          </w:p>
        </w:tc>
        <w:tc>
          <w:tcPr>
            <w:tcW w:w="31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三级指标</w:t>
            </w: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Cs/>
                <w:kern w:val="0"/>
                <w:sz w:val="21"/>
                <w:szCs w:val="21"/>
              </w:rPr>
            </w:pPr>
            <w:r>
              <w:rPr>
                <w:rFonts w:hint="eastAsia" w:ascii="黑体" w:hAnsi="黑体" w:eastAsia="黑体" w:cs="宋体"/>
                <w:bCs/>
                <w:kern w:val="0"/>
                <w:sz w:val="21"/>
                <w:szCs w:val="21"/>
              </w:rPr>
              <w:t>得分率（%）</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239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名称</w:t>
            </w:r>
          </w:p>
        </w:tc>
        <w:tc>
          <w:tcPr>
            <w:tcW w:w="72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黑体" w:hAnsi="黑体" w:eastAsia="黑体" w:cs="宋体"/>
                <w:bCs/>
                <w:kern w:val="0"/>
                <w:sz w:val="21"/>
                <w:szCs w:val="21"/>
              </w:rPr>
            </w:pPr>
            <w:r>
              <w:rPr>
                <w:rFonts w:hint="eastAsia" w:ascii="黑体" w:hAnsi="黑体" w:eastAsia="黑体" w:cs="宋体"/>
                <w:bCs/>
                <w:kern w:val="0"/>
                <w:sz w:val="21"/>
                <w:szCs w:val="21"/>
              </w:rPr>
              <w:t>指标分值</w:t>
            </w: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b/>
                <w:bCs/>
                <w:kern w:val="0"/>
                <w:sz w:val="21"/>
                <w:szCs w:val="21"/>
              </w:rPr>
            </w:pPr>
          </w:p>
        </w:tc>
      </w:tr>
      <w:tr>
        <w:tblPrEx>
          <w:tblCellMar>
            <w:top w:w="0" w:type="dxa"/>
            <w:left w:w="108" w:type="dxa"/>
            <w:bottom w:w="0" w:type="dxa"/>
            <w:right w:w="108" w:type="dxa"/>
          </w:tblCellMar>
        </w:tblPrEx>
        <w:trPr>
          <w:trHeight w:val="51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效益</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44</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社会效益</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20</w:t>
            </w:r>
          </w:p>
        </w:tc>
        <w:tc>
          <w:tcPr>
            <w:tcW w:w="239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cs="宋体" w:hAnsiTheme="minorEastAsia"/>
                <w:sz w:val="21"/>
                <w:szCs w:val="21"/>
              </w:rPr>
            </w:pPr>
            <w:r>
              <w:rPr>
                <w:rFonts w:hint="eastAsia" w:ascii="仿宋_GB2312" w:hAnsiTheme="minorEastAsia"/>
                <w:sz w:val="21"/>
                <w:szCs w:val="21"/>
              </w:rPr>
              <w:t>中小微企业发展能力</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239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cs="宋体" w:hAnsiTheme="minorEastAsia"/>
                <w:sz w:val="21"/>
                <w:szCs w:val="21"/>
              </w:rPr>
            </w:pPr>
            <w:r>
              <w:rPr>
                <w:rFonts w:hint="eastAsia" w:ascii="仿宋_GB2312" w:hAnsiTheme="minorEastAsia"/>
                <w:sz w:val="21"/>
                <w:szCs w:val="21"/>
              </w:rPr>
              <w:t>全面展示我省工业发展成就</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生态效益</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7</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heme="minorEastAsia"/>
                <w:sz w:val="21"/>
                <w:szCs w:val="21"/>
              </w:rPr>
            </w:pPr>
            <w:r>
              <w:rPr>
                <w:rFonts w:hint="eastAsia" w:ascii="仿宋_GB2312" w:hAnsiTheme="minorEastAsia"/>
                <w:sz w:val="21"/>
                <w:szCs w:val="21"/>
              </w:rPr>
              <w:t>生态环境治理</w:t>
            </w:r>
          </w:p>
        </w:tc>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7</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可持续影响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heme="minorEastAsia"/>
                <w:sz w:val="21"/>
                <w:szCs w:val="21"/>
              </w:rPr>
            </w:pPr>
            <w:r>
              <w:rPr>
                <w:rFonts w:hint="eastAsia" w:ascii="仿宋_GB2312" w:hAnsiTheme="minorEastAsia"/>
                <w:sz w:val="21"/>
                <w:szCs w:val="21"/>
              </w:rPr>
              <w:t>7</w:t>
            </w:r>
          </w:p>
        </w:tc>
        <w:tc>
          <w:tcPr>
            <w:tcW w:w="239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heme="minorEastAsia"/>
                <w:sz w:val="21"/>
                <w:szCs w:val="21"/>
              </w:rPr>
            </w:pPr>
            <w:r>
              <w:rPr>
                <w:rFonts w:hint="eastAsia" w:ascii="仿宋_GB2312" w:hAnsiTheme="minorEastAsia"/>
                <w:sz w:val="21"/>
                <w:szCs w:val="21"/>
              </w:rPr>
              <w:t>推进全省产业园区健康发展</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7</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7</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Theme="minorEastAsia"/>
                <w:sz w:val="21"/>
                <w:szCs w:val="21"/>
              </w:rPr>
            </w:pPr>
            <w:r>
              <w:rPr>
                <w:rFonts w:hint="eastAsia" w:ascii="仿宋_GB2312" w:hAnsiTheme="minorEastAsia"/>
                <w:sz w:val="21"/>
                <w:szCs w:val="21"/>
              </w:rPr>
              <w:t>100.00%</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cs="宋体" w:hAnsiTheme="minorEastAsia"/>
                <w:kern w:val="0"/>
                <w:sz w:val="21"/>
                <w:szCs w:val="21"/>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cs="宋体" w:hAnsiTheme="minorEastAsia"/>
                <w:kern w:val="0"/>
                <w:sz w:val="21"/>
                <w:szCs w:val="21"/>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满意度</w:t>
            </w:r>
          </w:p>
        </w:tc>
        <w:tc>
          <w:tcPr>
            <w:tcW w:w="70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cs="宋体" w:hAnsiTheme="minorEastAsia"/>
                <w:kern w:val="0"/>
                <w:sz w:val="21"/>
                <w:szCs w:val="21"/>
              </w:rPr>
            </w:pPr>
            <w:r>
              <w:rPr>
                <w:rFonts w:hint="eastAsia" w:ascii="仿宋_GB2312" w:hAnsiTheme="minorEastAsia"/>
                <w:sz w:val="21"/>
                <w:szCs w:val="21"/>
              </w:rPr>
              <w:t>10</w:t>
            </w:r>
          </w:p>
        </w:tc>
        <w:tc>
          <w:tcPr>
            <w:tcW w:w="2393"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服务对象满意度</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100.00%</w:t>
            </w:r>
          </w:p>
        </w:tc>
      </w:tr>
      <w:tr>
        <w:tblPrEx>
          <w:tblCellMar>
            <w:top w:w="0" w:type="dxa"/>
            <w:left w:w="108" w:type="dxa"/>
            <w:bottom w:w="0" w:type="dxa"/>
            <w:right w:w="108" w:type="dxa"/>
          </w:tblCellMar>
        </w:tblPrEx>
        <w:trPr>
          <w:trHeight w:val="270" w:hRule="atLeast"/>
        </w:trPr>
        <w:tc>
          <w:tcPr>
            <w:tcW w:w="5795"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合　计</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b/>
                <w:bCs/>
                <w:sz w:val="21"/>
                <w:szCs w:val="21"/>
              </w:rPr>
            </w:pPr>
            <w:r>
              <w:rPr>
                <w:rFonts w:hint="eastAsia" w:ascii="仿宋_GB2312" w:hAnsiTheme="minorEastAsia"/>
                <w:b/>
                <w:bCs/>
                <w:sz w:val="21"/>
                <w:szCs w:val="21"/>
              </w:rPr>
              <w:t>44</w:t>
            </w:r>
          </w:p>
        </w:tc>
        <w:tc>
          <w:tcPr>
            <w:tcW w:w="850"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b/>
                <w:bCs/>
                <w:sz w:val="21"/>
                <w:szCs w:val="21"/>
              </w:rPr>
            </w:pPr>
            <w:r>
              <w:rPr>
                <w:rFonts w:hint="eastAsia" w:ascii="仿宋_GB2312" w:hAnsiTheme="minorEastAsia"/>
                <w:b/>
                <w:bCs/>
                <w:sz w:val="21"/>
                <w:szCs w:val="21"/>
              </w:rPr>
              <w:t>44</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仿宋_GB2312" w:cs="宋体" w:hAnsiTheme="minorEastAsia"/>
                <w:sz w:val="21"/>
                <w:szCs w:val="21"/>
              </w:rPr>
            </w:pPr>
            <w:r>
              <w:rPr>
                <w:rFonts w:hint="eastAsia" w:ascii="仿宋_GB2312" w:hAnsiTheme="minorEastAsia"/>
                <w:sz w:val="21"/>
                <w:szCs w:val="21"/>
              </w:rPr>
              <w:t>100.00%</w:t>
            </w:r>
          </w:p>
        </w:tc>
      </w:tr>
    </w:tbl>
    <w:p>
      <w:pPr>
        <w:spacing w:line="560" w:lineRule="exact"/>
        <w:ind w:firstLine="664" w:firstLineChars="200"/>
        <w:rPr>
          <w:rFonts w:ascii="仿宋_GB2312"/>
          <w:spacing w:val="6"/>
          <w:sz w:val="32"/>
          <w:szCs w:val="32"/>
        </w:rPr>
      </w:pPr>
      <w:r>
        <w:rPr>
          <w:rFonts w:hint="eastAsia" w:ascii="仿宋_GB2312"/>
          <w:spacing w:val="6"/>
          <w:sz w:val="32"/>
          <w:szCs w:val="32"/>
        </w:rPr>
        <w:t>1.社会效益</w:t>
      </w:r>
    </w:p>
    <w:p>
      <w:pPr>
        <w:spacing w:line="560" w:lineRule="exact"/>
        <w:ind w:firstLine="640" w:firstLineChars="200"/>
        <w:rPr>
          <w:rFonts w:ascii="宋体" w:hAnsi="宋体" w:eastAsia="宋体" w:cs="宋体"/>
          <w:spacing w:val="6"/>
          <w:sz w:val="32"/>
          <w:szCs w:val="32"/>
        </w:rPr>
      </w:pPr>
      <w:r>
        <w:rPr>
          <w:rFonts w:hint="eastAsia" w:ascii="仿宋_GB2312" w:hAnsi="仿宋_GB2312" w:cs="仿宋_GB2312"/>
          <w:bCs/>
          <w:sz w:val="32"/>
          <w:szCs w:val="32"/>
        </w:rPr>
        <w:t>2019年度省工信发展专项资金支持民营经济和中小企业发展项目293个，其中：产业投资、品牌培育等项目161个，服务体系建设类项目28个，“星光”培训项目98个，其他项目6个。</w:t>
      </w:r>
      <w:r>
        <w:rPr>
          <w:rFonts w:hint="eastAsia" w:ascii="仿宋_GB2312"/>
          <w:spacing w:val="6"/>
          <w:sz w:val="32"/>
          <w:szCs w:val="32"/>
        </w:rPr>
        <w:t>现场勘查的“推动中小企业发展系列培训”项目，均按培训计划完成了培训内容，</w:t>
      </w:r>
      <w:r>
        <w:rPr>
          <w:rFonts w:hint="eastAsia"/>
          <w:sz w:val="32"/>
          <w:szCs w:val="32"/>
        </w:rPr>
        <w:t>提升了中小企业品牌建设意识，增强了企业的市场竞争力，推进了中小企业服务体系的建设，提升了中小企业人员素质，有效</w:t>
      </w:r>
      <w:r>
        <w:rPr>
          <w:rFonts w:hint="eastAsia" w:ascii="仿宋_GB2312"/>
          <w:spacing w:val="6"/>
          <w:sz w:val="32"/>
          <w:szCs w:val="32"/>
        </w:rPr>
        <w:t>提升了中小微企业发展能力和配套服务能力。</w:t>
      </w:r>
    </w:p>
    <w:p>
      <w:pPr>
        <w:spacing w:line="560" w:lineRule="exact"/>
        <w:ind w:firstLine="664" w:firstLineChars="200"/>
        <w:rPr>
          <w:rFonts w:ascii="仿宋_GB2312"/>
          <w:spacing w:val="6"/>
          <w:sz w:val="32"/>
          <w:szCs w:val="32"/>
        </w:rPr>
      </w:pPr>
      <w:r>
        <w:rPr>
          <w:rFonts w:hint="eastAsia" w:ascii="仿宋_GB2312"/>
          <w:spacing w:val="6"/>
          <w:sz w:val="32"/>
          <w:szCs w:val="32"/>
        </w:rPr>
        <w:t>在2019年7月贵州省首次举办的工业专业博览会上，贵州省基础能源、清洁高效电力、优质烟酒、新型建材、现代化工、先进装备制造、基础材料、特色食品、大数据电子信息、健康医药等十大千亿级产业所属工业企业积极参与，紧扣贵州省十大千亿级工业产业振兴行动，集中展示了重点产品、主要技术，向工业和信息化部、北京、上海、广东、辽宁、山东、浙江等 11 个省（自治区、直辖市）的 32 个行业协会、高校、企业和有关机构的参会代表，全面展示了贵州省工业发展成就，共有省内外 40 余家媒体、300 多人次记者参与报道，贵州日报刊发新闻通稿和工博特刊，人民网、中新网、中国日报等中央驻黔媒体等均对开幕式做了报道，总发稿数量超过300篇，观看工博会网络现场直播的人数近10万人，网络报道点击总量超过 200 万，得到了良好的反响，达到了既定的预期目标。</w:t>
      </w:r>
    </w:p>
    <w:p>
      <w:pPr>
        <w:spacing w:line="560" w:lineRule="exact"/>
        <w:ind w:firstLine="664" w:firstLineChars="200"/>
        <w:rPr>
          <w:rFonts w:ascii="仿宋_GB2312"/>
          <w:spacing w:val="6"/>
          <w:sz w:val="32"/>
          <w:szCs w:val="32"/>
        </w:rPr>
      </w:pPr>
      <w:r>
        <w:rPr>
          <w:rFonts w:hint="eastAsia" w:ascii="仿宋_GB2312"/>
          <w:spacing w:val="6"/>
          <w:sz w:val="32"/>
          <w:szCs w:val="32"/>
        </w:rPr>
        <w:t>2.生态效益</w:t>
      </w:r>
    </w:p>
    <w:p>
      <w:pPr>
        <w:spacing w:line="560" w:lineRule="exact"/>
        <w:ind w:firstLine="664" w:firstLineChars="200"/>
        <w:rPr>
          <w:rFonts w:ascii="仿宋_GB2312"/>
          <w:spacing w:val="6"/>
          <w:sz w:val="32"/>
          <w:szCs w:val="32"/>
        </w:rPr>
      </w:pPr>
      <w:r>
        <w:rPr>
          <w:rFonts w:hint="eastAsia" w:ascii="仿宋_GB2312"/>
          <w:spacing w:val="6"/>
          <w:sz w:val="32"/>
          <w:szCs w:val="32"/>
        </w:rPr>
        <w:t>2019年通过资源综合利用项目的实施，符合国家产业政策、清洁生产等有关法律法规的要求，有效推动了贵州省循环经济的发展，具有十分显著的生态效益。如：金正大诺泰尔化学有限公司20m</w:t>
      </w:r>
      <w:r>
        <w:rPr>
          <w:rFonts w:hint="eastAsia" w:ascii="仿宋_GB2312"/>
          <w:spacing w:val="6"/>
          <w:sz w:val="32"/>
          <w:szCs w:val="32"/>
          <w:vertAlign w:val="superscript"/>
        </w:rPr>
        <w:t>3</w:t>
      </w:r>
      <w:r>
        <w:rPr>
          <w:rFonts w:hint="eastAsia" w:ascii="仿宋_GB2312"/>
          <w:spacing w:val="6"/>
          <w:sz w:val="32"/>
          <w:szCs w:val="32"/>
        </w:rPr>
        <w:t>/h高浓度氨氮废水处理项目的实施，可每年消耗磷尾矿11万吨，不仅可以缓解对磷矿资源需求压力，而且也可以减少尾矿堆存所造成的环境污染问题，实现磷矿资源的可持续利用；贵州上和筑新材料科技有限公司改性磷石膏墙板及其他制品生产项目，是贵州解决磷石膏污染难题的一条有效途径，能实现磷石膏综合利用，变废为宝，减轻了废渣排放对环境和生态的影响，并有效减少对土地资源的占用；贵州天福化工有限责任公司年产5万吨液体二氧化碳二期项目的实施，能有效利用尾气作为原料生产二氧化碳，减少二氧化碳排放，提高空气质量，达到减排效果，综合利用废气3617.01NM3/h，减少二氧化碳排放5万吨/年；从江县凯迪农林生物质直燃发电项目，可节约标准煤9万吨，减少二氧化碳排放量18万吨。</w:t>
      </w:r>
    </w:p>
    <w:p>
      <w:pPr>
        <w:spacing w:line="560" w:lineRule="exact"/>
        <w:ind w:firstLine="664" w:firstLineChars="200"/>
        <w:rPr>
          <w:rFonts w:ascii="仿宋_GB2312"/>
          <w:spacing w:val="6"/>
          <w:sz w:val="32"/>
          <w:szCs w:val="32"/>
        </w:rPr>
      </w:pPr>
      <w:r>
        <w:rPr>
          <w:rFonts w:hint="eastAsia" w:ascii="仿宋_GB2312"/>
          <w:spacing w:val="6"/>
          <w:sz w:val="32"/>
          <w:szCs w:val="32"/>
        </w:rPr>
        <w:t>3.可持续性影响</w:t>
      </w:r>
    </w:p>
    <w:p>
      <w:pPr>
        <w:spacing w:line="560" w:lineRule="exact"/>
        <w:ind w:firstLine="664" w:firstLineChars="200"/>
        <w:rPr>
          <w:rFonts w:ascii="仿宋_GB2312" w:hAnsi="仿宋" w:cs="仿宋"/>
          <w:spacing w:val="6"/>
          <w:sz w:val="32"/>
          <w:szCs w:val="32"/>
        </w:rPr>
      </w:pPr>
      <w:r>
        <w:rPr>
          <w:rFonts w:hint="eastAsia" w:ascii="仿宋_GB2312" w:hAnsi="仿宋" w:cs="仿宋"/>
          <w:spacing w:val="6"/>
          <w:sz w:val="32"/>
          <w:szCs w:val="32"/>
        </w:rPr>
        <w:t>贵州省高度重视工业园区健康发展工作，于2018年11月下发了《省人民政府关于推进工业园区健康发展的指导意见》（黔府发〔2018〕30号），省工信厅也于2018年11月下发了《贵州省经济和信息化委关于〈推进产业园区工业高质量发展综合考评办法〉的通知（黔经信园区〔2018〕13号），为工业园区的健康发展奠定了制度基础。</w:t>
      </w:r>
    </w:p>
    <w:p>
      <w:pPr>
        <w:spacing w:line="560" w:lineRule="exact"/>
        <w:ind w:firstLine="664" w:firstLineChars="200"/>
        <w:rPr>
          <w:rFonts w:ascii="仿宋_GB2312" w:hAnsi="仿宋" w:cs="仿宋"/>
          <w:spacing w:val="6"/>
          <w:sz w:val="32"/>
          <w:szCs w:val="32"/>
        </w:rPr>
      </w:pPr>
      <w:r>
        <w:rPr>
          <w:rFonts w:hint="eastAsia" w:ascii="仿宋_GB2312" w:hAnsi="仿宋" w:cs="仿宋"/>
          <w:spacing w:val="6"/>
          <w:sz w:val="32"/>
          <w:szCs w:val="32"/>
        </w:rPr>
        <w:t>2019年省工信发展专项资金共安排资金16900万元（为专项资金的33.86%）助推70个园区建设，</w:t>
      </w:r>
      <w:r>
        <w:rPr>
          <w:rFonts w:hint="eastAsia" w:ascii="仿宋_GB2312" w:hAnsi="仿宋_GB2312" w:cs="仿宋_GB2312"/>
          <w:sz w:val="32"/>
          <w:szCs w:val="32"/>
        </w:rPr>
        <w:t>其中重点园区30家，共计11900万元，成长园区10家，共计2000万元；单项工作突出园区30家，共计3000万元。专项资金发挥了积极引导作用，</w:t>
      </w:r>
      <w:r>
        <w:rPr>
          <w:rFonts w:hint="eastAsia" w:ascii="仿宋_GB2312"/>
          <w:bCs/>
          <w:sz w:val="32"/>
          <w:szCs w:val="32"/>
        </w:rPr>
        <w:t>缓解了园区资金压力，</w:t>
      </w:r>
      <w:r>
        <w:rPr>
          <w:rFonts w:hint="eastAsia" w:ascii="仿宋_GB2312" w:hAnsi="仿宋_GB2312" w:cs="仿宋_GB2312"/>
          <w:sz w:val="32"/>
          <w:szCs w:val="32"/>
        </w:rPr>
        <w:t>引导园区加快基础设施建设，提升了园区承载能力，提高了园区经营公司造血能力和园区可持续发展能力，</w:t>
      </w:r>
      <w:r>
        <w:rPr>
          <w:rFonts w:hint="eastAsia" w:ascii="仿宋_GB2312" w:hAnsi="仿宋" w:cs="仿宋"/>
          <w:sz w:val="32"/>
          <w:szCs w:val="32"/>
        </w:rPr>
        <w:t>推动了园区的健康发展</w:t>
      </w:r>
      <w:r>
        <w:rPr>
          <w:rFonts w:hint="eastAsia" w:ascii="仿宋_GB2312" w:hAnsi="仿宋" w:cs="仿宋"/>
          <w:spacing w:val="6"/>
          <w:sz w:val="32"/>
          <w:szCs w:val="32"/>
        </w:rPr>
        <w:t>。</w:t>
      </w:r>
    </w:p>
    <w:p>
      <w:pPr>
        <w:spacing w:line="560" w:lineRule="exact"/>
        <w:ind w:firstLine="664" w:firstLineChars="200"/>
        <w:rPr>
          <w:rFonts w:ascii="仿宋_GB2312" w:hAnsi="仿宋" w:cs="仿宋"/>
          <w:spacing w:val="6"/>
          <w:sz w:val="32"/>
          <w:szCs w:val="32"/>
        </w:rPr>
      </w:pPr>
      <w:r>
        <w:rPr>
          <w:rFonts w:hint="eastAsia" w:ascii="仿宋_GB2312" w:hAnsi="仿宋" w:cs="仿宋"/>
          <w:spacing w:val="6"/>
          <w:sz w:val="32"/>
          <w:szCs w:val="32"/>
        </w:rPr>
        <w:t>4.满意度</w:t>
      </w:r>
    </w:p>
    <w:p>
      <w:pPr>
        <w:spacing w:line="560" w:lineRule="exact"/>
        <w:ind w:firstLine="664" w:firstLineChars="200"/>
        <w:rPr>
          <w:rFonts w:ascii="仿宋_GB2312" w:hAnsi="仿宋" w:cs="仿宋"/>
          <w:spacing w:val="6"/>
          <w:sz w:val="32"/>
          <w:szCs w:val="32"/>
        </w:rPr>
      </w:pPr>
      <w:r>
        <w:rPr>
          <w:rFonts w:hint="eastAsia" w:ascii="仿宋_GB2312" w:hAnsi="仿宋" w:cs="仿宋"/>
          <w:spacing w:val="6"/>
          <w:sz w:val="32"/>
          <w:szCs w:val="32"/>
        </w:rPr>
        <w:t>在服务对象满意度上，本次评价共收集到有效问卷271份。调查结果统计，满意度达到93.96%，服务对象认可度较高。</w:t>
      </w:r>
    </w:p>
    <w:p>
      <w:pPr>
        <w:spacing w:line="560" w:lineRule="exact"/>
        <w:ind w:firstLine="666" w:firstLineChars="200"/>
        <w:rPr>
          <w:b/>
          <w:spacing w:val="6"/>
        </w:rPr>
      </w:pPr>
      <w:r>
        <w:rPr>
          <w:rFonts w:hint="eastAsia" w:ascii="仿宋_GB2312" w:hAnsi="仿宋" w:cs="仿宋"/>
          <w:b/>
          <w:spacing w:val="6"/>
          <w:sz w:val="32"/>
          <w:szCs w:val="32"/>
        </w:rPr>
        <w:t>评价认为：2019年度工信发展专项资金项目的实施，工业和信息发展工作各项数据处于全国各省市前列，社会效益明显，生态环境治理得到进一步改善，可持续影响显著，服务对象满意度较高。</w:t>
      </w:r>
    </w:p>
    <w:p>
      <w:pPr>
        <w:pStyle w:val="2"/>
        <w:spacing w:before="0" w:beforeAutospacing="0" w:after="0" w:afterAutospacing="0"/>
        <w:rPr>
          <w:b w:val="0"/>
          <w:spacing w:val="6"/>
        </w:rPr>
      </w:pPr>
      <w:bookmarkStart w:id="186" w:name="_Toc41419937"/>
      <w:bookmarkStart w:id="187" w:name="_Toc40873785"/>
      <w:bookmarkStart w:id="188" w:name="_Toc41420807"/>
      <w:r>
        <w:rPr>
          <w:rFonts w:hint="eastAsia"/>
          <w:b w:val="0"/>
          <w:spacing w:val="6"/>
        </w:rPr>
        <w:t>六、主要经验及做法</w:t>
      </w:r>
      <w:bookmarkEnd w:id="186"/>
      <w:bookmarkEnd w:id="187"/>
      <w:bookmarkEnd w:id="188"/>
    </w:p>
    <w:p>
      <w:pPr>
        <w:spacing w:line="560" w:lineRule="exact"/>
        <w:ind w:firstLine="642" w:firstLineChars="200"/>
        <w:rPr>
          <w:rFonts w:ascii="仿宋_GB2312"/>
          <w:bCs/>
          <w:sz w:val="32"/>
          <w:szCs w:val="32"/>
        </w:rPr>
      </w:pPr>
      <w:r>
        <w:rPr>
          <w:rFonts w:hint="eastAsia" w:ascii="仿宋_GB2312"/>
          <w:b/>
          <w:bCs/>
          <w:sz w:val="32"/>
          <w:szCs w:val="32"/>
        </w:rPr>
        <w:t>一是</w:t>
      </w:r>
      <w:r>
        <w:rPr>
          <w:rFonts w:hint="eastAsia" w:ascii="仿宋_GB2312"/>
          <w:bCs/>
          <w:sz w:val="32"/>
          <w:szCs w:val="32"/>
        </w:rPr>
        <w:t>技术创新项目均实行合同管理，预设考核目标和鉴定验收标准，引导企业实施项目内容，既能有效提取和分析数据，又方便调度企业，所有项目实行闭环管理，保证了项目实施后有效果。</w:t>
      </w:r>
    </w:p>
    <w:p>
      <w:pPr>
        <w:adjustRightInd w:val="0"/>
        <w:snapToGrid w:val="0"/>
        <w:spacing w:line="560" w:lineRule="exact"/>
        <w:ind w:firstLine="666" w:firstLineChars="200"/>
        <w:rPr>
          <w:rFonts w:ascii="仿宋_GB2312" w:hAnsi="仿宋_GB2312" w:cs="仿宋_GB2312"/>
          <w:sz w:val="32"/>
          <w:szCs w:val="32"/>
        </w:rPr>
      </w:pPr>
      <w:r>
        <w:rPr>
          <w:rFonts w:hint="eastAsia" w:ascii="仿宋_GB2312" w:hAnsi="仿宋" w:cs="仿宋"/>
          <w:b/>
          <w:spacing w:val="6"/>
          <w:sz w:val="32"/>
          <w:szCs w:val="32"/>
        </w:rPr>
        <w:t>二是</w:t>
      </w:r>
      <w:r>
        <w:rPr>
          <w:rFonts w:hint="eastAsia" w:ascii="仿宋_GB2312" w:hAnsi="仿宋_GB2312" w:cs="仿宋_GB2312"/>
          <w:sz w:val="32"/>
          <w:szCs w:val="32"/>
        </w:rPr>
        <w:t>实施工业园区科学考核评价和调整整合，合理有序强化基础设施建设，优化工业园区管理服务，大力整改工业园区“形式主义”，实实在在推进园区产业招商，推动了园区健康发展。</w:t>
      </w:r>
    </w:p>
    <w:p>
      <w:pPr>
        <w:spacing w:line="560" w:lineRule="exact"/>
        <w:ind w:firstLine="642" w:firstLineChars="200"/>
        <w:rPr>
          <w:bCs/>
          <w:sz w:val="32"/>
          <w:szCs w:val="32"/>
        </w:rPr>
      </w:pPr>
      <w:bookmarkStart w:id="189" w:name="_Toc40873786"/>
      <w:bookmarkStart w:id="190" w:name="_Toc40874087"/>
      <w:r>
        <w:rPr>
          <w:rFonts w:hint="eastAsia"/>
          <w:b/>
          <w:sz w:val="32"/>
          <w:szCs w:val="32"/>
        </w:rPr>
        <w:t>三是</w:t>
      </w:r>
      <w:r>
        <w:rPr>
          <w:rFonts w:hint="eastAsia"/>
          <w:sz w:val="32"/>
          <w:szCs w:val="32"/>
        </w:rPr>
        <w:t>有效推动中小企业技术改造和转型升级，提升了中小企业品牌建设意识，增强了企业的市场竞争力，推进了中小企业服务体系的建设，充分发挥了创业对就业的带动效应，</w:t>
      </w:r>
      <w:r>
        <w:rPr>
          <w:rFonts w:hint="eastAsia" w:hAnsi="Calibri"/>
          <w:bCs/>
          <w:sz w:val="32"/>
          <w:szCs w:val="32"/>
        </w:rPr>
        <w:t>为</w:t>
      </w:r>
      <w:r>
        <w:rPr>
          <w:rFonts w:hint="eastAsia"/>
          <w:bCs/>
          <w:sz w:val="32"/>
          <w:szCs w:val="32"/>
        </w:rPr>
        <w:t>促进就业创业、助推脱贫攻坚、带动了</w:t>
      </w:r>
      <w:r>
        <w:rPr>
          <w:rFonts w:hint="eastAsia" w:hAnsi="Calibri"/>
          <w:bCs/>
          <w:sz w:val="32"/>
          <w:szCs w:val="32"/>
        </w:rPr>
        <w:t>地方经济社会发展</w:t>
      </w:r>
      <w:r>
        <w:rPr>
          <w:rFonts w:hint="eastAsia"/>
          <w:bCs/>
          <w:sz w:val="32"/>
          <w:szCs w:val="32"/>
        </w:rPr>
        <w:t>。</w:t>
      </w:r>
      <w:bookmarkEnd w:id="189"/>
      <w:bookmarkEnd w:id="190"/>
    </w:p>
    <w:p>
      <w:pPr>
        <w:pStyle w:val="2"/>
        <w:spacing w:before="0" w:beforeAutospacing="0" w:after="0" w:afterAutospacing="0"/>
        <w:rPr>
          <w:b w:val="0"/>
          <w:spacing w:val="6"/>
        </w:rPr>
      </w:pPr>
      <w:bookmarkStart w:id="191" w:name="_Toc41419938"/>
      <w:bookmarkStart w:id="192" w:name="_Toc41420808"/>
      <w:bookmarkStart w:id="193" w:name="_Toc40873787"/>
      <w:r>
        <w:rPr>
          <w:rFonts w:hint="eastAsia"/>
          <w:b w:val="0"/>
          <w:spacing w:val="6"/>
        </w:rPr>
        <w:t>七、存在问题及原因分析</w:t>
      </w:r>
      <w:bookmarkEnd w:id="191"/>
      <w:bookmarkEnd w:id="192"/>
      <w:bookmarkEnd w:id="193"/>
    </w:p>
    <w:p>
      <w:pPr>
        <w:pStyle w:val="16"/>
        <w:ind w:firstLine="664"/>
        <w:rPr>
          <w:b w:val="0"/>
          <w:spacing w:val="6"/>
        </w:rPr>
      </w:pPr>
      <w:bookmarkStart w:id="194" w:name="_Toc40873788"/>
      <w:bookmarkStart w:id="195" w:name="_Toc40874089"/>
      <w:bookmarkStart w:id="196" w:name="_Toc41419939"/>
      <w:bookmarkStart w:id="197" w:name="_Toc41420809"/>
      <w:r>
        <w:rPr>
          <w:rFonts w:hint="eastAsia"/>
          <w:b w:val="0"/>
          <w:spacing w:val="6"/>
        </w:rPr>
        <w:t>（一）绩效目标及绩效指标设置</w:t>
      </w:r>
      <w:bookmarkEnd w:id="194"/>
      <w:bookmarkEnd w:id="195"/>
      <w:r>
        <w:rPr>
          <w:rFonts w:hint="eastAsia"/>
          <w:b w:val="0"/>
          <w:spacing w:val="6"/>
        </w:rPr>
        <w:t>需进一步优化</w:t>
      </w:r>
      <w:bookmarkEnd w:id="196"/>
      <w:bookmarkEnd w:id="197"/>
    </w:p>
    <w:p>
      <w:pPr>
        <w:spacing w:line="560" w:lineRule="exact"/>
        <w:ind w:left="150" w:leftChars="50" w:firstLine="640" w:firstLineChars="200"/>
        <w:rPr>
          <w:rFonts w:ascii="仿宋_GB2312" w:hAnsi="仿宋"/>
          <w:sz w:val="32"/>
          <w:szCs w:val="32"/>
        </w:rPr>
      </w:pPr>
      <w:r>
        <w:rPr>
          <w:rFonts w:hint="eastAsia" w:ascii="仿宋_GB2312" w:hAnsi="黑体"/>
          <w:sz w:val="32"/>
          <w:szCs w:val="32"/>
        </w:rPr>
        <w:t>评价发现，2019年度省工信发展专项资金绩效目标相对宏观，如：“</w:t>
      </w:r>
      <w:r>
        <w:rPr>
          <w:rFonts w:hint="eastAsia" w:ascii="仿宋_GB2312"/>
          <w:spacing w:val="6"/>
          <w:sz w:val="32"/>
          <w:szCs w:val="32"/>
        </w:rPr>
        <w:t>完成省委、省政府重点工作任务</w:t>
      </w:r>
      <w:r>
        <w:rPr>
          <w:rFonts w:hint="eastAsia" w:ascii="仿宋_GB2312" w:hAnsi="黑体"/>
          <w:sz w:val="32"/>
          <w:szCs w:val="32"/>
        </w:rPr>
        <w:t>”，客观合理性还有不足，</w:t>
      </w:r>
      <w:r>
        <w:rPr>
          <w:rFonts w:hint="eastAsia" w:ascii="仿宋_GB2312" w:hAnsi="仿宋"/>
          <w:sz w:val="32"/>
          <w:szCs w:val="32"/>
        </w:rPr>
        <w:t>在判断预期产出效益和效果是否符合正常业绩水平上，不能很好进行测量和评判。</w:t>
      </w:r>
      <w:r>
        <w:rPr>
          <w:rFonts w:hint="eastAsia" w:ascii="仿宋_GB2312" w:hAnsi="黑体"/>
          <w:sz w:val="32"/>
          <w:szCs w:val="32"/>
        </w:rPr>
        <w:t>绩效指标</w:t>
      </w:r>
      <w:r>
        <w:rPr>
          <w:rFonts w:hint="eastAsia" w:ascii="仿宋_GB2312"/>
          <w:spacing w:val="6"/>
          <w:sz w:val="32"/>
          <w:szCs w:val="32"/>
        </w:rPr>
        <w:t>与绩效目标对应性还需进一步加强</w:t>
      </w:r>
      <w:r>
        <w:rPr>
          <w:rFonts w:hint="eastAsia" w:ascii="仿宋_GB2312" w:hAnsi="黑体"/>
          <w:sz w:val="32"/>
          <w:szCs w:val="32"/>
        </w:rPr>
        <w:t>，如：“获支持项目建设完成后实现总投资”的指标值仅为“≥安排的专项资金金额”，在考虑专项资金引导、撬动、</w:t>
      </w:r>
      <w:r>
        <w:rPr>
          <w:rFonts w:hint="eastAsia" w:ascii="仿宋_GB2312"/>
          <w:spacing w:val="6"/>
          <w:sz w:val="32"/>
          <w:szCs w:val="32"/>
        </w:rPr>
        <w:t>带动社会资本的作用上有不足，</w:t>
      </w:r>
      <w:r>
        <w:rPr>
          <w:rFonts w:hint="eastAsia" w:ascii="仿宋_GB2312" w:hAnsi="仿宋"/>
          <w:sz w:val="32"/>
          <w:szCs w:val="32"/>
        </w:rPr>
        <w:t>个别绩效指标值不易衡量专</w:t>
      </w:r>
      <w:r>
        <w:rPr>
          <w:rFonts w:hint="eastAsia" w:ascii="仿宋_GB2312" w:hAnsi="黑体"/>
          <w:sz w:val="32"/>
          <w:szCs w:val="32"/>
        </w:rPr>
        <w:t>项资金产生的效益。</w:t>
      </w:r>
    </w:p>
    <w:p>
      <w:pPr>
        <w:spacing w:line="560" w:lineRule="exact"/>
        <w:ind w:firstLine="640" w:firstLineChars="200"/>
        <w:rPr>
          <w:rFonts w:ascii="仿宋_GB2312" w:hAnsi="黑体"/>
          <w:sz w:val="32"/>
          <w:szCs w:val="32"/>
        </w:rPr>
      </w:pPr>
      <w:r>
        <w:rPr>
          <w:rFonts w:hint="eastAsia" w:ascii="仿宋_GB2312" w:hAnsi="黑体"/>
          <w:sz w:val="32"/>
          <w:szCs w:val="32"/>
        </w:rPr>
        <w:t>产生上述问题的主要原因为：主管部门对项目预算绩效指标编制理解还不够精准，指标设置仍需进一步优化。</w:t>
      </w:r>
    </w:p>
    <w:p>
      <w:pPr>
        <w:pStyle w:val="16"/>
        <w:ind w:firstLine="664"/>
        <w:rPr>
          <w:b w:val="0"/>
          <w:spacing w:val="6"/>
        </w:rPr>
      </w:pPr>
      <w:bookmarkStart w:id="198" w:name="_Toc41419940"/>
      <w:bookmarkStart w:id="199" w:name="_Toc41420810"/>
      <w:r>
        <w:rPr>
          <w:rFonts w:hint="eastAsia"/>
          <w:b w:val="0"/>
          <w:spacing w:val="6"/>
        </w:rPr>
        <w:t>（二）资金及项目过程管控有待加强</w:t>
      </w:r>
      <w:bookmarkEnd w:id="198"/>
      <w:bookmarkEnd w:id="199"/>
    </w:p>
    <w:p>
      <w:pPr>
        <w:spacing w:line="560" w:lineRule="exact"/>
        <w:ind w:firstLine="642" w:firstLineChars="200"/>
        <w:rPr>
          <w:rFonts w:ascii="仿宋_GB2312" w:hAnsi="黑体"/>
          <w:sz w:val="32"/>
          <w:szCs w:val="32"/>
        </w:rPr>
      </w:pPr>
      <w:r>
        <w:rPr>
          <w:rFonts w:hint="eastAsia" w:ascii="仿宋_GB2312" w:hAnsi="黑体"/>
          <w:b/>
          <w:sz w:val="32"/>
          <w:szCs w:val="32"/>
        </w:rPr>
        <w:t>一是</w:t>
      </w:r>
      <w:r>
        <w:rPr>
          <w:rFonts w:hint="eastAsia" w:ascii="仿宋_GB2312" w:hAnsi="黑体"/>
          <w:sz w:val="32"/>
          <w:szCs w:val="32"/>
        </w:rPr>
        <w:t>个别项目专项资金管理规范性还在不足，现场抽样的25个项目中，有5个项目实施单位未进行独立核算，有1个项目实施单位入账方式不规范。</w:t>
      </w:r>
    </w:p>
    <w:p>
      <w:pPr>
        <w:spacing w:line="560" w:lineRule="exact"/>
        <w:ind w:firstLine="642" w:firstLineChars="200"/>
        <w:rPr>
          <w:rFonts w:ascii="仿宋_GB2312" w:hAnsi="黑体"/>
          <w:sz w:val="32"/>
          <w:szCs w:val="32"/>
        </w:rPr>
      </w:pPr>
      <w:r>
        <w:rPr>
          <w:rFonts w:hint="eastAsia" w:ascii="仿宋_GB2312" w:hAnsi="黑体"/>
          <w:b/>
          <w:sz w:val="32"/>
          <w:szCs w:val="32"/>
        </w:rPr>
        <w:t>二是</w:t>
      </w:r>
      <w:r>
        <w:rPr>
          <w:rFonts w:hint="eastAsia" w:ascii="仿宋_GB2312" w:hAnsi="黑体"/>
          <w:sz w:val="32"/>
          <w:szCs w:val="32"/>
        </w:rPr>
        <w:t>个别项目实施单位的财务和业务管理制度未建立健全，现场抽样的25个项目中，有3个项目实施单位存在没有</w:t>
      </w:r>
      <w:r>
        <w:rPr>
          <w:rFonts w:hint="eastAsia" w:ascii="仿宋_GB2312" w:hAnsi="微软雅黑"/>
          <w:spacing w:val="6"/>
          <w:sz w:val="32"/>
          <w:szCs w:val="32"/>
        </w:rPr>
        <w:t>建立财务和业务管理制度，或有财务制度没有管理制度的情况</w:t>
      </w:r>
      <w:r>
        <w:rPr>
          <w:rFonts w:hint="eastAsia" w:ascii="仿宋_GB2312" w:hAnsi="黑体"/>
          <w:sz w:val="32"/>
          <w:szCs w:val="32"/>
        </w:rPr>
        <w:t>。</w:t>
      </w:r>
    </w:p>
    <w:p>
      <w:pPr>
        <w:spacing w:line="560" w:lineRule="exact"/>
        <w:ind w:firstLine="642" w:firstLineChars="200"/>
        <w:rPr>
          <w:rFonts w:ascii="仿宋_GB2312" w:hAnsi="黑体"/>
          <w:sz w:val="32"/>
          <w:szCs w:val="32"/>
        </w:rPr>
      </w:pPr>
      <w:r>
        <w:rPr>
          <w:rFonts w:hint="eastAsia" w:ascii="仿宋_GB2312" w:hAnsi="黑体"/>
          <w:b/>
          <w:sz w:val="32"/>
          <w:szCs w:val="32"/>
        </w:rPr>
        <w:t>三是</w:t>
      </w:r>
      <w:r>
        <w:rPr>
          <w:rFonts w:hint="eastAsia" w:ascii="仿宋_GB2312" w:hAnsi="黑体"/>
          <w:sz w:val="32"/>
          <w:szCs w:val="32"/>
        </w:rPr>
        <w:t>个别项目延期建设，未履行相关调整手续。</w:t>
      </w:r>
    </w:p>
    <w:p>
      <w:pPr>
        <w:spacing w:line="560" w:lineRule="exact"/>
        <w:ind w:firstLine="640" w:firstLineChars="200"/>
        <w:rPr>
          <w:rFonts w:ascii="仿宋_GB2312" w:hAnsi="黑体"/>
          <w:sz w:val="32"/>
          <w:szCs w:val="32"/>
        </w:rPr>
      </w:pPr>
      <w:bookmarkStart w:id="200" w:name="_Toc40874090"/>
      <w:bookmarkStart w:id="201" w:name="_Toc40873789"/>
      <w:r>
        <w:rPr>
          <w:rFonts w:hint="eastAsia" w:ascii="仿宋_GB2312" w:hAnsi="黑体"/>
          <w:sz w:val="32"/>
          <w:szCs w:val="32"/>
        </w:rPr>
        <w:t>产生上述问题的主要原因为：项目实施单位未能切实落实相关管理要求；各级主管部门过程管理效果存在不足，对项目实施单位存在的问题没有及时发现和予以纠正。</w:t>
      </w:r>
    </w:p>
    <w:p>
      <w:pPr>
        <w:pStyle w:val="16"/>
        <w:ind w:firstLine="664"/>
        <w:rPr>
          <w:b w:val="0"/>
          <w:spacing w:val="6"/>
        </w:rPr>
      </w:pPr>
      <w:bookmarkStart w:id="202" w:name="_Toc41419941"/>
      <w:bookmarkStart w:id="203" w:name="_Toc41420811"/>
      <w:r>
        <w:rPr>
          <w:rFonts w:hint="eastAsia"/>
          <w:b w:val="0"/>
          <w:spacing w:val="6"/>
        </w:rPr>
        <w:t>（三）项目验收组织需进一步</w:t>
      </w:r>
      <w:bookmarkEnd w:id="200"/>
      <w:bookmarkEnd w:id="201"/>
      <w:r>
        <w:rPr>
          <w:rFonts w:hint="eastAsia"/>
          <w:b w:val="0"/>
          <w:spacing w:val="6"/>
        </w:rPr>
        <w:t>强化</w:t>
      </w:r>
      <w:bookmarkEnd w:id="202"/>
      <w:bookmarkEnd w:id="203"/>
    </w:p>
    <w:p>
      <w:pPr>
        <w:spacing w:line="560" w:lineRule="exact"/>
        <w:ind w:firstLine="664" w:firstLineChars="200"/>
        <w:rPr>
          <w:rFonts w:ascii="仿宋_GB2312" w:hAnsi="微软雅黑"/>
          <w:spacing w:val="6"/>
          <w:sz w:val="32"/>
          <w:szCs w:val="32"/>
        </w:rPr>
      </w:pPr>
      <w:r>
        <w:rPr>
          <w:rFonts w:hint="eastAsia" w:ascii="仿宋_GB2312"/>
          <w:spacing w:val="6"/>
          <w:sz w:val="32"/>
          <w:szCs w:val="32"/>
        </w:rPr>
        <w:t>评价发现，部分项目存在项目实施单位在项目完成后主观不提请验收，或提请申请验收后属地主管部门未能及时开展验收的情况。现场抽样的25个项目中，已完工应</w:t>
      </w:r>
      <w:r>
        <w:rPr>
          <w:rFonts w:hint="eastAsia" w:ascii="仿宋_GB2312" w:hAnsi="微软雅黑"/>
          <w:spacing w:val="6"/>
          <w:sz w:val="32"/>
          <w:szCs w:val="32"/>
        </w:rPr>
        <w:t>进行验收的项目为10个，完成验收的项目为1个，其他应验收项目正在组织验收过程中。</w:t>
      </w:r>
      <w:bookmarkStart w:id="204" w:name="_Toc40873790"/>
      <w:bookmarkStart w:id="205" w:name="_Toc7276763"/>
      <w:bookmarkStart w:id="206" w:name="_Toc7267944"/>
    </w:p>
    <w:p>
      <w:pPr>
        <w:spacing w:line="560" w:lineRule="exact"/>
        <w:ind w:firstLine="640" w:firstLineChars="200"/>
        <w:rPr>
          <w:rFonts w:ascii="仿宋_GB2312" w:hAnsi="黑体"/>
          <w:sz w:val="32"/>
          <w:szCs w:val="32"/>
        </w:rPr>
      </w:pPr>
      <w:r>
        <w:rPr>
          <w:rFonts w:hint="eastAsia" w:ascii="仿宋_GB2312" w:hAnsi="黑体"/>
          <w:sz w:val="32"/>
          <w:szCs w:val="32"/>
        </w:rPr>
        <w:t>产生上述问题的主要原因为：受新冠疫情影响项目组织验收进度；但仍需加快推进优化项目验收的管理模式及机制，切实做好事中事后监管。</w:t>
      </w:r>
    </w:p>
    <w:p>
      <w:pPr>
        <w:pStyle w:val="2"/>
        <w:spacing w:before="0" w:beforeAutospacing="0" w:after="0" w:afterAutospacing="0"/>
        <w:rPr>
          <w:b w:val="0"/>
          <w:spacing w:val="6"/>
        </w:rPr>
      </w:pPr>
      <w:bookmarkStart w:id="207" w:name="_Toc41420812"/>
      <w:bookmarkStart w:id="208" w:name="_Toc41419942"/>
      <w:r>
        <w:rPr>
          <w:rFonts w:hint="eastAsia"/>
          <w:b w:val="0"/>
          <w:spacing w:val="6"/>
        </w:rPr>
        <w:t>八、相关建议</w:t>
      </w:r>
      <w:bookmarkEnd w:id="204"/>
      <w:bookmarkEnd w:id="207"/>
      <w:bookmarkEnd w:id="208"/>
    </w:p>
    <w:p>
      <w:pPr>
        <w:pStyle w:val="4"/>
        <w:spacing w:before="0" w:after="0" w:line="560" w:lineRule="exact"/>
        <w:ind w:firstLine="664" w:firstLineChars="200"/>
        <w:rPr>
          <w:rFonts w:ascii="楷体_GB2312" w:hAnsi="楷体_GB2312" w:eastAsia="楷体_GB2312" w:cs="楷体_GB2312"/>
          <w:b w:val="0"/>
        </w:rPr>
      </w:pPr>
      <w:bookmarkStart w:id="209" w:name="_Toc41419943"/>
      <w:bookmarkStart w:id="210" w:name="_Toc40874092"/>
      <w:r>
        <w:rPr>
          <w:rFonts w:hint="eastAsia" w:ascii="楷体_GB2312" w:hAnsi="楷体_GB2312" w:eastAsia="楷体_GB2312" w:cs="楷体_GB2312"/>
          <w:b w:val="0"/>
          <w:spacing w:val="6"/>
        </w:rPr>
        <w:t>（一）</w:t>
      </w:r>
      <w:r>
        <w:rPr>
          <w:rFonts w:hint="eastAsia" w:ascii="楷体_GB2312" w:hAnsi="楷体_GB2312" w:eastAsia="楷体_GB2312" w:cs="楷体_GB2312"/>
          <w:b w:val="0"/>
        </w:rPr>
        <w:t>进一步加强预算绩效目标管理，科学编制绩效目标</w:t>
      </w:r>
      <w:bookmarkEnd w:id="209"/>
      <w:bookmarkEnd w:id="210"/>
    </w:p>
    <w:p>
      <w:pPr>
        <w:spacing w:line="560" w:lineRule="exact"/>
        <w:ind w:firstLine="640" w:firstLineChars="200"/>
        <w:rPr>
          <w:rFonts w:ascii="仿宋_GB2312" w:hAnsi="黑体"/>
          <w:sz w:val="32"/>
          <w:szCs w:val="32"/>
        </w:rPr>
      </w:pPr>
      <w:r>
        <w:rPr>
          <w:rFonts w:hint="eastAsia" w:ascii="仿宋_GB2312" w:hAnsi="黑体"/>
          <w:sz w:val="32"/>
          <w:szCs w:val="32"/>
        </w:rPr>
        <w:t>绩效目标是专项资金项目实施的重要方向和标准，是衡量和考核专项资金使用效果的重要依据，主管部门要从项目申报环节予以高度重视，加强绩效目标编制知识的学习和理解，按照绩效管理要求和专项资金的特点，建立和完善详细、量化和可衡量的绩效目标及指标体系，明确专项资金应完成的具体目标、使用效果及考核标准，并将其细化量化为具体的绩效指标，合理、完整地反映财政专项经费的产出及效果。</w:t>
      </w:r>
    </w:p>
    <w:p>
      <w:pPr>
        <w:pStyle w:val="4"/>
        <w:spacing w:before="0" w:after="0" w:line="560" w:lineRule="exact"/>
        <w:ind w:firstLine="664" w:firstLineChars="200"/>
        <w:rPr>
          <w:rFonts w:ascii="楷体_GB2312" w:hAnsi="楷体" w:eastAsia="楷体_GB2312"/>
          <w:b w:val="0"/>
          <w:spacing w:val="6"/>
        </w:rPr>
      </w:pPr>
      <w:bookmarkStart w:id="211" w:name="_Toc41419944"/>
      <w:bookmarkStart w:id="212" w:name="_Toc40874093"/>
      <w:r>
        <w:rPr>
          <w:rFonts w:hint="eastAsia" w:ascii="楷体_GB2312" w:hAnsi="楷体" w:eastAsia="楷体_GB2312"/>
          <w:b w:val="0"/>
          <w:spacing w:val="6"/>
        </w:rPr>
        <w:t>（二）严格专项资金项目管理要求，加强项目过程管控</w:t>
      </w:r>
      <w:bookmarkEnd w:id="211"/>
      <w:bookmarkEnd w:id="212"/>
    </w:p>
    <w:p>
      <w:pPr>
        <w:spacing w:line="560" w:lineRule="exact"/>
        <w:ind w:firstLine="640" w:firstLineChars="200"/>
        <w:rPr>
          <w:rFonts w:ascii="仿宋_GB2312" w:hAnsi="黑体"/>
          <w:sz w:val="32"/>
          <w:szCs w:val="32"/>
        </w:rPr>
      </w:pPr>
      <w:r>
        <w:rPr>
          <w:rFonts w:hint="eastAsia" w:ascii="仿宋_GB2312" w:hAnsi="黑体"/>
          <w:sz w:val="32"/>
          <w:szCs w:val="32"/>
        </w:rPr>
        <w:t>各级项目主管部门要加强项目监管，督促项目实施单位按照规定要求做好相关管理工作。</w:t>
      </w:r>
      <w:r>
        <w:rPr>
          <w:rFonts w:hint="eastAsia" w:ascii="仿宋_GB2312" w:hAnsi="黑体"/>
          <w:b/>
          <w:sz w:val="32"/>
          <w:szCs w:val="32"/>
        </w:rPr>
        <w:t>一是</w:t>
      </w:r>
      <w:r>
        <w:rPr>
          <w:rFonts w:hint="eastAsia" w:ascii="仿宋_GB2312"/>
          <w:spacing w:val="6"/>
          <w:sz w:val="32"/>
          <w:szCs w:val="32"/>
        </w:rPr>
        <w:t>严格要求项目实施单位按专项资金的管理要求，对专项资金进行专账管理和单独核算。</w:t>
      </w:r>
      <w:r>
        <w:rPr>
          <w:rFonts w:hint="eastAsia" w:ascii="仿宋_GB2312"/>
          <w:b/>
          <w:spacing w:val="6"/>
          <w:sz w:val="32"/>
          <w:szCs w:val="32"/>
        </w:rPr>
        <w:t>二是</w:t>
      </w:r>
      <w:r>
        <w:rPr>
          <w:rFonts w:hint="eastAsia" w:ascii="仿宋_GB2312"/>
          <w:spacing w:val="6"/>
          <w:sz w:val="32"/>
          <w:szCs w:val="32"/>
        </w:rPr>
        <w:t>必须要求所有的项目实施单位建立合法、合规、完整的财务和业务管理制度，让项目实施工作“有章可循、有制可依”；</w:t>
      </w:r>
      <w:r>
        <w:rPr>
          <w:rFonts w:hint="eastAsia" w:ascii="仿宋_GB2312"/>
          <w:b/>
          <w:spacing w:val="6"/>
          <w:sz w:val="32"/>
          <w:szCs w:val="32"/>
        </w:rPr>
        <w:t>三是</w:t>
      </w:r>
      <w:r>
        <w:rPr>
          <w:rFonts w:hint="eastAsia" w:ascii="仿宋_GB2312"/>
          <w:spacing w:val="6"/>
          <w:sz w:val="32"/>
          <w:szCs w:val="32"/>
        </w:rPr>
        <w:t>要求项目实施单位</w:t>
      </w:r>
      <w:r>
        <w:rPr>
          <w:rFonts w:hint="eastAsia" w:ascii="仿宋_GB2312" w:hAnsi="黑体"/>
          <w:sz w:val="32"/>
          <w:szCs w:val="32"/>
        </w:rPr>
        <w:t>提升项目管理的认识，对项目建设内容、建设时间、建设地点等有变化的，</w:t>
      </w:r>
      <w:r>
        <w:rPr>
          <w:rFonts w:hint="eastAsia" w:ascii="仿宋_GB2312"/>
          <w:spacing w:val="6"/>
          <w:sz w:val="32"/>
          <w:szCs w:val="32"/>
        </w:rPr>
        <w:t>必须经严格的申请审批程序，同时工信各级主管部门加大</w:t>
      </w:r>
      <w:r>
        <w:rPr>
          <w:rFonts w:hint="eastAsia" w:ascii="仿宋_GB2312" w:hAnsi="黑体"/>
          <w:sz w:val="32"/>
          <w:szCs w:val="32"/>
        </w:rPr>
        <w:t>对项目的监督，监管中发现的问题，及时提出整改要求并限时办理</w:t>
      </w:r>
      <w:r>
        <w:rPr>
          <w:rFonts w:hint="eastAsia" w:ascii="仿宋_GB2312"/>
          <w:spacing w:val="6"/>
          <w:sz w:val="32"/>
          <w:szCs w:val="32"/>
        </w:rPr>
        <w:t>。</w:t>
      </w:r>
    </w:p>
    <w:p>
      <w:pPr>
        <w:pStyle w:val="4"/>
        <w:spacing w:before="0" w:after="0" w:line="560" w:lineRule="exact"/>
        <w:ind w:firstLine="664" w:firstLineChars="200"/>
        <w:rPr>
          <w:rFonts w:ascii="楷体_GB2312" w:hAnsi="楷体" w:eastAsia="楷体_GB2312"/>
          <w:b w:val="0"/>
          <w:spacing w:val="6"/>
        </w:rPr>
      </w:pPr>
      <w:bookmarkStart w:id="213" w:name="_Toc41419945"/>
      <w:bookmarkStart w:id="214" w:name="_Toc40874094"/>
      <w:r>
        <w:rPr>
          <w:rFonts w:hint="eastAsia" w:ascii="楷体_GB2312" w:hAnsi="楷体" w:eastAsia="楷体_GB2312"/>
          <w:b w:val="0"/>
          <w:spacing w:val="6"/>
        </w:rPr>
        <w:t>（三）专题研究部署，切实做好项目验收管理工作</w:t>
      </w:r>
      <w:bookmarkEnd w:id="213"/>
      <w:bookmarkEnd w:id="214"/>
    </w:p>
    <w:p>
      <w:pPr>
        <w:spacing w:line="560" w:lineRule="exact"/>
        <w:ind w:firstLine="664" w:firstLineChars="200"/>
        <w:rPr>
          <w:rFonts w:ascii="仿宋_GB2312"/>
          <w:spacing w:val="6"/>
          <w:sz w:val="32"/>
          <w:szCs w:val="32"/>
        </w:rPr>
      </w:pPr>
      <w:r>
        <w:rPr>
          <w:rFonts w:hint="eastAsia" w:ascii="仿宋_GB2312"/>
          <w:spacing w:val="6"/>
          <w:sz w:val="32"/>
          <w:szCs w:val="32"/>
        </w:rPr>
        <w:t>项目验收工作已成为当前工信发展专项资金项目管理的瓶颈问题，建议主管部门对项目验收管理工作开展调研摸底，针对验收组织存在的具体问题进行专题研究，一一提出解决措施，进一步明确各级工信部门在项目验收管理的职责和负面清单，优化形成项目验收管理机制，并建立检查通报等制度，切实做好项目验收管理工作。必要时可采取购买服务，借助第三方对专项资金实施项目进行验收。</w:t>
      </w:r>
    </w:p>
    <w:bookmarkEnd w:id="205"/>
    <w:bookmarkEnd w:id="206"/>
    <w:p>
      <w:pPr>
        <w:pStyle w:val="2"/>
        <w:spacing w:before="0" w:beforeAutospacing="0" w:after="0" w:afterAutospacing="0"/>
        <w:rPr>
          <w:b w:val="0"/>
          <w:spacing w:val="6"/>
        </w:rPr>
      </w:pPr>
      <w:bookmarkStart w:id="215" w:name="_Toc41419946"/>
      <w:bookmarkStart w:id="216" w:name="_Toc41420813"/>
      <w:bookmarkStart w:id="217" w:name="_Toc40873791"/>
      <w:r>
        <w:rPr>
          <w:rFonts w:hint="eastAsia"/>
          <w:b w:val="0"/>
          <w:spacing w:val="6"/>
        </w:rPr>
        <w:t>九、绩效评价结果应用建议</w:t>
      </w:r>
      <w:bookmarkEnd w:id="215"/>
      <w:bookmarkEnd w:id="216"/>
      <w:bookmarkEnd w:id="217"/>
    </w:p>
    <w:p>
      <w:pPr>
        <w:pStyle w:val="16"/>
        <w:ind w:firstLine="664"/>
        <w:rPr>
          <w:b w:val="0"/>
          <w:spacing w:val="6"/>
        </w:rPr>
      </w:pPr>
      <w:bookmarkStart w:id="218" w:name="_Toc40874096"/>
      <w:bookmarkStart w:id="219" w:name="_Toc40873792"/>
      <w:bookmarkStart w:id="220" w:name="_Toc41420814"/>
      <w:bookmarkStart w:id="221" w:name="_Toc41419947"/>
      <w:bookmarkStart w:id="222" w:name="_Toc19726129"/>
      <w:r>
        <w:rPr>
          <w:rFonts w:hint="eastAsia"/>
          <w:b w:val="0"/>
          <w:spacing w:val="6"/>
        </w:rPr>
        <w:t>（一）落实问题整改</w:t>
      </w:r>
      <w:bookmarkEnd w:id="218"/>
      <w:bookmarkEnd w:id="219"/>
      <w:bookmarkEnd w:id="220"/>
      <w:bookmarkEnd w:id="221"/>
      <w:bookmarkEnd w:id="222"/>
    </w:p>
    <w:p>
      <w:pPr>
        <w:spacing w:line="560" w:lineRule="exact"/>
        <w:ind w:firstLine="664" w:firstLineChars="200"/>
        <w:rPr>
          <w:rFonts w:ascii="仿宋_GB2312"/>
          <w:spacing w:val="6"/>
          <w:sz w:val="32"/>
          <w:szCs w:val="32"/>
        </w:rPr>
      </w:pPr>
      <w:r>
        <w:rPr>
          <w:rFonts w:hint="eastAsia" w:ascii="仿宋_GB2312"/>
          <w:spacing w:val="6"/>
          <w:sz w:val="32"/>
          <w:szCs w:val="32"/>
        </w:rPr>
        <w:t>积极落实评价结果反馈和整改工作，将绩效评价所反映的问题和建议反馈给业务主管部门和项目实施单位，督促其对相关问题提出切实可行的整改意见，并及时整改。</w:t>
      </w:r>
    </w:p>
    <w:p>
      <w:pPr>
        <w:pStyle w:val="16"/>
        <w:ind w:firstLine="664"/>
        <w:rPr>
          <w:b w:val="0"/>
          <w:spacing w:val="6"/>
        </w:rPr>
      </w:pPr>
      <w:bookmarkStart w:id="223" w:name="_Toc40874097"/>
      <w:bookmarkStart w:id="224" w:name="_Toc41419948"/>
      <w:bookmarkStart w:id="225" w:name="_Toc41420815"/>
      <w:bookmarkStart w:id="226" w:name="_Toc19726130"/>
      <w:bookmarkStart w:id="227" w:name="_Toc40873793"/>
      <w:r>
        <w:rPr>
          <w:rFonts w:hint="eastAsia"/>
          <w:b w:val="0"/>
          <w:spacing w:val="6"/>
        </w:rPr>
        <w:t>（二）推进信息公开</w:t>
      </w:r>
      <w:bookmarkEnd w:id="223"/>
      <w:bookmarkEnd w:id="224"/>
      <w:bookmarkEnd w:id="225"/>
      <w:bookmarkEnd w:id="226"/>
      <w:bookmarkEnd w:id="227"/>
    </w:p>
    <w:p>
      <w:pPr>
        <w:spacing w:line="560" w:lineRule="exact"/>
        <w:ind w:firstLine="664" w:firstLineChars="200"/>
        <w:rPr>
          <w:rFonts w:ascii="仿宋_GB2312"/>
          <w:spacing w:val="6"/>
          <w:sz w:val="32"/>
          <w:szCs w:val="32"/>
        </w:rPr>
      </w:pPr>
      <w:r>
        <w:rPr>
          <w:rFonts w:hint="eastAsia" w:ascii="仿宋_GB2312"/>
          <w:spacing w:val="6"/>
          <w:sz w:val="32"/>
          <w:szCs w:val="32"/>
        </w:rPr>
        <w:t>在不违反保密法的前提下，按照预算信息公开的有关规定将绩效评价结果在省工信厅官网进行公开，并接受公众的意见和反馈，接受社会公众的监督和制约，提高财政资金使用透明度。</w:t>
      </w:r>
    </w:p>
    <w:p>
      <w:pPr>
        <w:spacing w:line="700" w:lineRule="exact"/>
        <w:jc w:val="center"/>
      </w:pPr>
    </w:p>
    <w:sectPr>
      <w:footerReference r:id="rId9" w:type="default"/>
      <w:footerReference r:id="rId10" w:type="even"/>
      <w:type w:val="nextColumn"/>
      <w:pgSz w:w="11906" w:h="16838"/>
      <w:pgMar w:top="2098" w:right="1588" w:bottom="1985" w:left="1588" w:header="851" w:footer="1474" w:gutter="0"/>
      <w:pgNumType w:start="1"/>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eastAsiaTheme="minorEastAsia"/>
        <w:sz w:val="28"/>
        <w:szCs w:val="28"/>
      </w:rPr>
    </w:pPr>
  </w:p>
  <w:p>
    <w:pPr>
      <w:pStyle w:val="1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840"/>
      <w:docPartObj>
        <w:docPartGallery w:val="autotext"/>
      </w:docPartObj>
    </w:sdtPr>
    <w:sdtEndPr>
      <w:rPr>
        <w:rFonts w:asciiTheme="minorEastAsia" w:hAnsiTheme="minorEastAsia" w:eastAsiaTheme="minorEastAsia"/>
        <w:sz w:val="28"/>
        <w:szCs w:val="28"/>
      </w:rPr>
    </w:sdtEndPr>
    <w:sdtContent>
      <w:p>
        <w:pPr>
          <w:pStyle w:val="12"/>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8414"/>
      <w:docPartObj>
        <w:docPartGallery w:val="autotext"/>
      </w:docPartObj>
    </w:sdtPr>
    <w:sdtEndPr>
      <w:rPr>
        <w:rFonts w:asciiTheme="minorEastAsia" w:hAnsiTheme="minorEastAsia" w:eastAsiaTheme="minorEastAsia"/>
        <w:sz w:val="28"/>
        <w:szCs w:val="28"/>
      </w:rPr>
    </w:sdtEndPr>
    <w:sdtContent>
      <w:p>
        <w:pPr>
          <w:pStyle w:val="1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1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3089"/>
      <w:docPartObj>
        <w:docPartGallery w:val="autotext"/>
      </w:docPartObj>
    </w:sdtPr>
    <w:sdtContent>
      <w:p>
        <w:pPr>
          <w:pStyle w:val="12"/>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857"/>
      <w:docPartObj>
        <w:docPartGallery w:val="autotext"/>
      </w:docPartObj>
    </w:sdtPr>
    <w:sdtEndPr>
      <w:rPr>
        <w:rFonts w:asciiTheme="minorEastAsia" w:hAnsiTheme="minorEastAsia" w:eastAsiaTheme="minorEastAsia"/>
        <w:sz w:val="28"/>
        <w:szCs w:val="28"/>
      </w:rPr>
    </w:sdtEndPr>
    <w:sdtContent>
      <w:p>
        <w:pPr>
          <w:pStyle w:val="12"/>
        </w:pPr>
      </w:p>
    </w:sdtContent>
  </w:sdt>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12"/>
      <w:rPr>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B3"/>
    <w:rsid w:val="00000567"/>
    <w:rsid w:val="00000A83"/>
    <w:rsid w:val="00004ABA"/>
    <w:rsid w:val="0000535D"/>
    <w:rsid w:val="0000776C"/>
    <w:rsid w:val="00007FE2"/>
    <w:rsid w:val="00010FFC"/>
    <w:rsid w:val="00012B9E"/>
    <w:rsid w:val="00013D16"/>
    <w:rsid w:val="00016E43"/>
    <w:rsid w:val="0001711F"/>
    <w:rsid w:val="0002130D"/>
    <w:rsid w:val="000216C0"/>
    <w:rsid w:val="00024581"/>
    <w:rsid w:val="00025637"/>
    <w:rsid w:val="00025EE3"/>
    <w:rsid w:val="00026F50"/>
    <w:rsid w:val="000303AA"/>
    <w:rsid w:val="000308E6"/>
    <w:rsid w:val="000319AA"/>
    <w:rsid w:val="00032FD5"/>
    <w:rsid w:val="0003372A"/>
    <w:rsid w:val="00042FCA"/>
    <w:rsid w:val="00043899"/>
    <w:rsid w:val="000446B4"/>
    <w:rsid w:val="000466B7"/>
    <w:rsid w:val="00047679"/>
    <w:rsid w:val="000479A7"/>
    <w:rsid w:val="00050367"/>
    <w:rsid w:val="00051247"/>
    <w:rsid w:val="000554D4"/>
    <w:rsid w:val="00066456"/>
    <w:rsid w:val="00066B5A"/>
    <w:rsid w:val="00070861"/>
    <w:rsid w:val="000752C9"/>
    <w:rsid w:val="00077774"/>
    <w:rsid w:val="00077A0F"/>
    <w:rsid w:val="000859EE"/>
    <w:rsid w:val="00085E0E"/>
    <w:rsid w:val="00093389"/>
    <w:rsid w:val="00093844"/>
    <w:rsid w:val="00093EC4"/>
    <w:rsid w:val="000A57E3"/>
    <w:rsid w:val="000A72DF"/>
    <w:rsid w:val="000B2854"/>
    <w:rsid w:val="000B3170"/>
    <w:rsid w:val="000B4BFE"/>
    <w:rsid w:val="000B77DD"/>
    <w:rsid w:val="000C16CD"/>
    <w:rsid w:val="000C2CBB"/>
    <w:rsid w:val="000C393D"/>
    <w:rsid w:val="000C400C"/>
    <w:rsid w:val="000C41B9"/>
    <w:rsid w:val="000D02AA"/>
    <w:rsid w:val="000E1092"/>
    <w:rsid w:val="000E22A2"/>
    <w:rsid w:val="000E44AC"/>
    <w:rsid w:val="000E71CB"/>
    <w:rsid w:val="000F14EB"/>
    <w:rsid w:val="000F4143"/>
    <w:rsid w:val="000F6383"/>
    <w:rsid w:val="00101E07"/>
    <w:rsid w:val="00103A7B"/>
    <w:rsid w:val="00103CF6"/>
    <w:rsid w:val="001053D9"/>
    <w:rsid w:val="00106D2A"/>
    <w:rsid w:val="00114AB4"/>
    <w:rsid w:val="001175AB"/>
    <w:rsid w:val="00117E9C"/>
    <w:rsid w:val="0012185D"/>
    <w:rsid w:val="00125B48"/>
    <w:rsid w:val="00130766"/>
    <w:rsid w:val="00134A01"/>
    <w:rsid w:val="00135ACA"/>
    <w:rsid w:val="001425E6"/>
    <w:rsid w:val="0014318A"/>
    <w:rsid w:val="001566F2"/>
    <w:rsid w:val="00161350"/>
    <w:rsid w:val="00163C1E"/>
    <w:rsid w:val="0016789B"/>
    <w:rsid w:val="00171FEF"/>
    <w:rsid w:val="0017286D"/>
    <w:rsid w:val="00174C2B"/>
    <w:rsid w:val="00175450"/>
    <w:rsid w:val="001821E4"/>
    <w:rsid w:val="00183C08"/>
    <w:rsid w:val="00185828"/>
    <w:rsid w:val="00186487"/>
    <w:rsid w:val="00187374"/>
    <w:rsid w:val="00192566"/>
    <w:rsid w:val="00194A18"/>
    <w:rsid w:val="0019703C"/>
    <w:rsid w:val="001B015B"/>
    <w:rsid w:val="001B3984"/>
    <w:rsid w:val="001C2EE7"/>
    <w:rsid w:val="001C32DD"/>
    <w:rsid w:val="001C659A"/>
    <w:rsid w:val="001C77E5"/>
    <w:rsid w:val="001D33FD"/>
    <w:rsid w:val="001D485F"/>
    <w:rsid w:val="001D48D9"/>
    <w:rsid w:val="001D4BE6"/>
    <w:rsid w:val="001E0B9D"/>
    <w:rsid w:val="001E1C76"/>
    <w:rsid w:val="001E267D"/>
    <w:rsid w:val="001E4777"/>
    <w:rsid w:val="001E643B"/>
    <w:rsid w:val="001E7A0A"/>
    <w:rsid w:val="001F203E"/>
    <w:rsid w:val="001F616F"/>
    <w:rsid w:val="00203A4D"/>
    <w:rsid w:val="0020405B"/>
    <w:rsid w:val="002054F7"/>
    <w:rsid w:val="00205F48"/>
    <w:rsid w:val="00211907"/>
    <w:rsid w:val="00215FF2"/>
    <w:rsid w:val="0022203A"/>
    <w:rsid w:val="0022576B"/>
    <w:rsid w:val="002267A8"/>
    <w:rsid w:val="002276F8"/>
    <w:rsid w:val="00230611"/>
    <w:rsid w:val="00230A6A"/>
    <w:rsid w:val="00234B04"/>
    <w:rsid w:val="002351A7"/>
    <w:rsid w:val="002410B2"/>
    <w:rsid w:val="00242AB7"/>
    <w:rsid w:val="00243257"/>
    <w:rsid w:val="00244281"/>
    <w:rsid w:val="00247FC2"/>
    <w:rsid w:val="00252068"/>
    <w:rsid w:val="00253B9D"/>
    <w:rsid w:val="002549D5"/>
    <w:rsid w:val="002624FC"/>
    <w:rsid w:val="00277046"/>
    <w:rsid w:val="0028059C"/>
    <w:rsid w:val="00282C19"/>
    <w:rsid w:val="002831A9"/>
    <w:rsid w:val="0028357A"/>
    <w:rsid w:val="002878F3"/>
    <w:rsid w:val="00293C92"/>
    <w:rsid w:val="0029429C"/>
    <w:rsid w:val="002952D6"/>
    <w:rsid w:val="00295E3F"/>
    <w:rsid w:val="00297FCD"/>
    <w:rsid w:val="002A1A16"/>
    <w:rsid w:val="002A38F7"/>
    <w:rsid w:val="002A6C77"/>
    <w:rsid w:val="002B3EBF"/>
    <w:rsid w:val="002B5093"/>
    <w:rsid w:val="002C5242"/>
    <w:rsid w:val="002C6A29"/>
    <w:rsid w:val="002D3DA3"/>
    <w:rsid w:val="002E1356"/>
    <w:rsid w:val="002E1FD8"/>
    <w:rsid w:val="002E638F"/>
    <w:rsid w:val="002E7EF6"/>
    <w:rsid w:val="002F1C00"/>
    <w:rsid w:val="002F70DC"/>
    <w:rsid w:val="002F7F82"/>
    <w:rsid w:val="0030239E"/>
    <w:rsid w:val="00306984"/>
    <w:rsid w:val="00307239"/>
    <w:rsid w:val="00307CB8"/>
    <w:rsid w:val="00307E79"/>
    <w:rsid w:val="003110F4"/>
    <w:rsid w:val="00313849"/>
    <w:rsid w:val="00315819"/>
    <w:rsid w:val="003171C9"/>
    <w:rsid w:val="00323605"/>
    <w:rsid w:val="00325031"/>
    <w:rsid w:val="00330D5C"/>
    <w:rsid w:val="003338E7"/>
    <w:rsid w:val="00334633"/>
    <w:rsid w:val="00336376"/>
    <w:rsid w:val="0033694E"/>
    <w:rsid w:val="00337709"/>
    <w:rsid w:val="00340408"/>
    <w:rsid w:val="00343699"/>
    <w:rsid w:val="00343E7D"/>
    <w:rsid w:val="00344261"/>
    <w:rsid w:val="0034667E"/>
    <w:rsid w:val="00346CEE"/>
    <w:rsid w:val="00346E07"/>
    <w:rsid w:val="00351B3E"/>
    <w:rsid w:val="00351DAA"/>
    <w:rsid w:val="00355682"/>
    <w:rsid w:val="003579A6"/>
    <w:rsid w:val="003661BF"/>
    <w:rsid w:val="00366492"/>
    <w:rsid w:val="00367B42"/>
    <w:rsid w:val="003726AC"/>
    <w:rsid w:val="00374264"/>
    <w:rsid w:val="0038188E"/>
    <w:rsid w:val="00381E1D"/>
    <w:rsid w:val="0038369C"/>
    <w:rsid w:val="00383C03"/>
    <w:rsid w:val="0038535F"/>
    <w:rsid w:val="003855B9"/>
    <w:rsid w:val="00386175"/>
    <w:rsid w:val="00390D7F"/>
    <w:rsid w:val="003917A5"/>
    <w:rsid w:val="0039407A"/>
    <w:rsid w:val="00394447"/>
    <w:rsid w:val="00395C79"/>
    <w:rsid w:val="0039666A"/>
    <w:rsid w:val="00396DBF"/>
    <w:rsid w:val="003A00AE"/>
    <w:rsid w:val="003A0722"/>
    <w:rsid w:val="003A37F8"/>
    <w:rsid w:val="003A6E68"/>
    <w:rsid w:val="003A7140"/>
    <w:rsid w:val="003B2833"/>
    <w:rsid w:val="003B4D7F"/>
    <w:rsid w:val="003B5C0C"/>
    <w:rsid w:val="003B722B"/>
    <w:rsid w:val="003C7500"/>
    <w:rsid w:val="003C7E91"/>
    <w:rsid w:val="003D6423"/>
    <w:rsid w:val="003E0288"/>
    <w:rsid w:val="003E5851"/>
    <w:rsid w:val="003E6DC1"/>
    <w:rsid w:val="003E76C0"/>
    <w:rsid w:val="003F143B"/>
    <w:rsid w:val="003F2CC9"/>
    <w:rsid w:val="003F7043"/>
    <w:rsid w:val="0040100E"/>
    <w:rsid w:val="004012D2"/>
    <w:rsid w:val="0040354E"/>
    <w:rsid w:val="0040424F"/>
    <w:rsid w:val="00404D24"/>
    <w:rsid w:val="00415416"/>
    <w:rsid w:val="00417133"/>
    <w:rsid w:val="00426F03"/>
    <w:rsid w:val="00427A87"/>
    <w:rsid w:val="0043049B"/>
    <w:rsid w:val="00430F5F"/>
    <w:rsid w:val="0043156A"/>
    <w:rsid w:val="004319F5"/>
    <w:rsid w:val="00433D5F"/>
    <w:rsid w:val="00436E16"/>
    <w:rsid w:val="00436FD8"/>
    <w:rsid w:val="0044227B"/>
    <w:rsid w:val="00445EF7"/>
    <w:rsid w:val="0045076F"/>
    <w:rsid w:val="004548A7"/>
    <w:rsid w:val="00454BCD"/>
    <w:rsid w:val="0046511B"/>
    <w:rsid w:val="004676A2"/>
    <w:rsid w:val="00472440"/>
    <w:rsid w:val="00477FDC"/>
    <w:rsid w:val="00480302"/>
    <w:rsid w:val="00481BE7"/>
    <w:rsid w:val="004823C9"/>
    <w:rsid w:val="00487540"/>
    <w:rsid w:val="004908D9"/>
    <w:rsid w:val="0049435C"/>
    <w:rsid w:val="00496D6E"/>
    <w:rsid w:val="00497FAE"/>
    <w:rsid w:val="004A0833"/>
    <w:rsid w:val="004A7F37"/>
    <w:rsid w:val="004B4174"/>
    <w:rsid w:val="004C0C06"/>
    <w:rsid w:val="004C3D97"/>
    <w:rsid w:val="004C6163"/>
    <w:rsid w:val="004C702E"/>
    <w:rsid w:val="004D1B11"/>
    <w:rsid w:val="004D1EA0"/>
    <w:rsid w:val="004D2D5E"/>
    <w:rsid w:val="004D2DED"/>
    <w:rsid w:val="004D41B2"/>
    <w:rsid w:val="004D6D29"/>
    <w:rsid w:val="004D749A"/>
    <w:rsid w:val="004D7AC0"/>
    <w:rsid w:val="004E39FA"/>
    <w:rsid w:val="004E48FD"/>
    <w:rsid w:val="004E4C43"/>
    <w:rsid w:val="004E4D4B"/>
    <w:rsid w:val="004E56C2"/>
    <w:rsid w:val="004E5AB1"/>
    <w:rsid w:val="004E5E3D"/>
    <w:rsid w:val="004E5F91"/>
    <w:rsid w:val="004E6419"/>
    <w:rsid w:val="004E7663"/>
    <w:rsid w:val="004F1B6B"/>
    <w:rsid w:val="004F2316"/>
    <w:rsid w:val="004F36A4"/>
    <w:rsid w:val="00500415"/>
    <w:rsid w:val="00510D10"/>
    <w:rsid w:val="00511A9B"/>
    <w:rsid w:val="005136D6"/>
    <w:rsid w:val="00514F7A"/>
    <w:rsid w:val="005166EB"/>
    <w:rsid w:val="00520418"/>
    <w:rsid w:val="0052196B"/>
    <w:rsid w:val="00523EFB"/>
    <w:rsid w:val="00527098"/>
    <w:rsid w:val="005272D6"/>
    <w:rsid w:val="005308A8"/>
    <w:rsid w:val="00552C81"/>
    <w:rsid w:val="00554A75"/>
    <w:rsid w:val="00556939"/>
    <w:rsid w:val="00565124"/>
    <w:rsid w:val="00565AD6"/>
    <w:rsid w:val="00570330"/>
    <w:rsid w:val="00572791"/>
    <w:rsid w:val="00575831"/>
    <w:rsid w:val="00577CF7"/>
    <w:rsid w:val="005840EF"/>
    <w:rsid w:val="00584EF7"/>
    <w:rsid w:val="005857F3"/>
    <w:rsid w:val="00585C7B"/>
    <w:rsid w:val="005861D6"/>
    <w:rsid w:val="00586CF8"/>
    <w:rsid w:val="00586F29"/>
    <w:rsid w:val="00587B3F"/>
    <w:rsid w:val="00590AE9"/>
    <w:rsid w:val="005921A5"/>
    <w:rsid w:val="00597470"/>
    <w:rsid w:val="005A4308"/>
    <w:rsid w:val="005A6B76"/>
    <w:rsid w:val="005A7E11"/>
    <w:rsid w:val="005B2EBA"/>
    <w:rsid w:val="005B311A"/>
    <w:rsid w:val="005B4353"/>
    <w:rsid w:val="005B6132"/>
    <w:rsid w:val="005C1C34"/>
    <w:rsid w:val="005C27AE"/>
    <w:rsid w:val="005C5C77"/>
    <w:rsid w:val="005D4DCE"/>
    <w:rsid w:val="005D5EA0"/>
    <w:rsid w:val="005F0761"/>
    <w:rsid w:val="005F2F48"/>
    <w:rsid w:val="006058A2"/>
    <w:rsid w:val="00605A8A"/>
    <w:rsid w:val="00610AD0"/>
    <w:rsid w:val="00611175"/>
    <w:rsid w:val="00616BDF"/>
    <w:rsid w:val="00617AFB"/>
    <w:rsid w:val="0062705B"/>
    <w:rsid w:val="006309A7"/>
    <w:rsid w:val="00632D25"/>
    <w:rsid w:val="006359A5"/>
    <w:rsid w:val="00636E9E"/>
    <w:rsid w:val="0064141E"/>
    <w:rsid w:val="0064261A"/>
    <w:rsid w:val="00645349"/>
    <w:rsid w:val="006464AD"/>
    <w:rsid w:val="006464AF"/>
    <w:rsid w:val="00646E99"/>
    <w:rsid w:val="00647F67"/>
    <w:rsid w:val="006530A6"/>
    <w:rsid w:val="00655BA1"/>
    <w:rsid w:val="00656B2E"/>
    <w:rsid w:val="00657368"/>
    <w:rsid w:val="00662FCB"/>
    <w:rsid w:val="006658D7"/>
    <w:rsid w:val="00665CAF"/>
    <w:rsid w:val="0067159C"/>
    <w:rsid w:val="00675AA3"/>
    <w:rsid w:val="00676BC0"/>
    <w:rsid w:val="006815F3"/>
    <w:rsid w:val="00685696"/>
    <w:rsid w:val="00687778"/>
    <w:rsid w:val="00692A2D"/>
    <w:rsid w:val="00694DD8"/>
    <w:rsid w:val="00695EC7"/>
    <w:rsid w:val="00696C01"/>
    <w:rsid w:val="006A34D3"/>
    <w:rsid w:val="006A4F2E"/>
    <w:rsid w:val="006A6F2A"/>
    <w:rsid w:val="006B32C1"/>
    <w:rsid w:val="006B3E4B"/>
    <w:rsid w:val="006B793E"/>
    <w:rsid w:val="006C4746"/>
    <w:rsid w:val="006D0C5D"/>
    <w:rsid w:val="006D0EE3"/>
    <w:rsid w:val="006D2FAB"/>
    <w:rsid w:val="006D3E7E"/>
    <w:rsid w:val="006D4298"/>
    <w:rsid w:val="006D650A"/>
    <w:rsid w:val="006D7318"/>
    <w:rsid w:val="006E059D"/>
    <w:rsid w:val="006E7AE2"/>
    <w:rsid w:val="006F0101"/>
    <w:rsid w:val="006F0C8C"/>
    <w:rsid w:val="006F0F32"/>
    <w:rsid w:val="006F1D95"/>
    <w:rsid w:val="006F77F6"/>
    <w:rsid w:val="00704E38"/>
    <w:rsid w:val="00706898"/>
    <w:rsid w:val="0071407C"/>
    <w:rsid w:val="00717102"/>
    <w:rsid w:val="00717992"/>
    <w:rsid w:val="00717C68"/>
    <w:rsid w:val="00721180"/>
    <w:rsid w:val="00723460"/>
    <w:rsid w:val="00723E02"/>
    <w:rsid w:val="00723F5A"/>
    <w:rsid w:val="00727129"/>
    <w:rsid w:val="007334B3"/>
    <w:rsid w:val="0073393A"/>
    <w:rsid w:val="00733AA2"/>
    <w:rsid w:val="00733BED"/>
    <w:rsid w:val="007344A1"/>
    <w:rsid w:val="00743394"/>
    <w:rsid w:val="00745385"/>
    <w:rsid w:val="00745B51"/>
    <w:rsid w:val="00746D91"/>
    <w:rsid w:val="0075057F"/>
    <w:rsid w:val="007512EF"/>
    <w:rsid w:val="007627F2"/>
    <w:rsid w:val="007674A6"/>
    <w:rsid w:val="00767DE9"/>
    <w:rsid w:val="00771E14"/>
    <w:rsid w:val="00773178"/>
    <w:rsid w:val="00773780"/>
    <w:rsid w:val="00774E03"/>
    <w:rsid w:val="00775856"/>
    <w:rsid w:val="0078136A"/>
    <w:rsid w:val="007833B0"/>
    <w:rsid w:val="00784C5E"/>
    <w:rsid w:val="00785CA9"/>
    <w:rsid w:val="00786E8B"/>
    <w:rsid w:val="00792C53"/>
    <w:rsid w:val="00792DBF"/>
    <w:rsid w:val="007A144D"/>
    <w:rsid w:val="007A64C7"/>
    <w:rsid w:val="007A7D7A"/>
    <w:rsid w:val="007B0854"/>
    <w:rsid w:val="007B0A2A"/>
    <w:rsid w:val="007B2810"/>
    <w:rsid w:val="007B37BA"/>
    <w:rsid w:val="007B3F75"/>
    <w:rsid w:val="007B5AFC"/>
    <w:rsid w:val="007B685E"/>
    <w:rsid w:val="007B7C3F"/>
    <w:rsid w:val="007C2277"/>
    <w:rsid w:val="007C35FB"/>
    <w:rsid w:val="007C6A33"/>
    <w:rsid w:val="007C769D"/>
    <w:rsid w:val="007D3CA2"/>
    <w:rsid w:val="007D52E5"/>
    <w:rsid w:val="007E34D0"/>
    <w:rsid w:val="007E3FEB"/>
    <w:rsid w:val="007F1C8C"/>
    <w:rsid w:val="007F20B4"/>
    <w:rsid w:val="007F4229"/>
    <w:rsid w:val="007F79C8"/>
    <w:rsid w:val="007F7C9E"/>
    <w:rsid w:val="0080114D"/>
    <w:rsid w:val="00805700"/>
    <w:rsid w:val="00805AF5"/>
    <w:rsid w:val="0081255D"/>
    <w:rsid w:val="00822D2E"/>
    <w:rsid w:val="00822E2E"/>
    <w:rsid w:val="00827568"/>
    <w:rsid w:val="0083069C"/>
    <w:rsid w:val="00830BF2"/>
    <w:rsid w:val="00836007"/>
    <w:rsid w:val="00837A21"/>
    <w:rsid w:val="00840241"/>
    <w:rsid w:val="00840CFE"/>
    <w:rsid w:val="00852D0B"/>
    <w:rsid w:val="008532AD"/>
    <w:rsid w:val="00857A3E"/>
    <w:rsid w:val="00863E68"/>
    <w:rsid w:val="00864486"/>
    <w:rsid w:val="00864509"/>
    <w:rsid w:val="00866EA3"/>
    <w:rsid w:val="0087060F"/>
    <w:rsid w:val="008712D9"/>
    <w:rsid w:val="00872FF6"/>
    <w:rsid w:val="00876231"/>
    <w:rsid w:val="008770EB"/>
    <w:rsid w:val="0087784D"/>
    <w:rsid w:val="00883DF5"/>
    <w:rsid w:val="00885B6B"/>
    <w:rsid w:val="00886538"/>
    <w:rsid w:val="00887E04"/>
    <w:rsid w:val="0089042B"/>
    <w:rsid w:val="008916B1"/>
    <w:rsid w:val="00891D8E"/>
    <w:rsid w:val="0089383D"/>
    <w:rsid w:val="00894D44"/>
    <w:rsid w:val="008957CB"/>
    <w:rsid w:val="00896D61"/>
    <w:rsid w:val="008973E1"/>
    <w:rsid w:val="008974EA"/>
    <w:rsid w:val="008A1227"/>
    <w:rsid w:val="008A1E1A"/>
    <w:rsid w:val="008A2EB4"/>
    <w:rsid w:val="008B53A6"/>
    <w:rsid w:val="008B57BF"/>
    <w:rsid w:val="008B7C66"/>
    <w:rsid w:val="008C0C5F"/>
    <w:rsid w:val="008C2162"/>
    <w:rsid w:val="008C5B1F"/>
    <w:rsid w:val="008C5D8D"/>
    <w:rsid w:val="008C6D20"/>
    <w:rsid w:val="008E0BF9"/>
    <w:rsid w:val="008E4E62"/>
    <w:rsid w:val="008E73C2"/>
    <w:rsid w:val="008F581C"/>
    <w:rsid w:val="008F6911"/>
    <w:rsid w:val="008F71D4"/>
    <w:rsid w:val="008F72C4"/>
    <w:rsid w:val="009041EF"/>
    <w:rsid w:val="00907E02"/>
    <w:rsid w:val="009146A5"/>
    <w:rsid w:val="009154B5"/>
    <w:rsid w:val="00917637"/>
    <w:rsid w:val="0092222F"/>
    <w:rsid w:val="00922667"/>
    <w:rsid w:val="00930B5F"/>
    <w:rsid w:val="00935175"/>
    <w:rsid w:val="00941310"/>
    <w:rsid w:val="00941961"/>
    <w:rsid w:val="009440BA"/>
    <w:rsid w:val="0095337B"/>
    <w:rsid w:val="00955C69"/>
    <w:rsid w:val="00962112"/>
    <w:rsid w:val="009651C8"/>
    <w:rsid w:val="0096650E"/>
    <w:rsid w:val="00966DAD"/>
    <w:rsid w:val="009705B9"/>
    <w:rsid w:val="00972316"/>
    <w:rsid w:val="0097690D"/>
    <w:rsid w:val="009779F3"/>
    <w:rsid w:val="00977AF1"/>
    <w:rsid w:val="0098064F"/>
    <w:rsid w:val="0099197C"/>
    <w:rsid w:val="00993747"/>
    <w:rsid w:val="009947A8"/>
    <w:rsid w:val="0099494C"/>
    <w:rsid w:val="00997F4A"/>
    <w:rsid w:val="009A06A3"/>
    <w:rsid w:val="009A1388"/>
    <w:rsid w:val="009A58EF"/>
    <w:rsid w:val="009C054C"/>
    <w:rsid w:val="009C2D78"/>
    <w:rsid w:val="009D3192"/>
    <w:rsid w:val="009E1246"/>
    <w:rsid w:val="009E1E12"/>
    <w:rsid w:val="009E41B1"/>
    <w:rsid w:val="009E72B7"/>
    <w:rsid w:val="009E7493"/>
    <w:rsid w:val="009F0FD0"/>
    <w:rsid w:val="009F27A8"/>
    <w:rsid w:val="009F7466"/>
    <w:rsid w:val="00A000BD"/>
    <w:rsid w:val="00A01A47"/>
    <w:rsid w:val="00A05BBD"/>
    <w:rsid w:val="00A06377"/>
    <w:rsid w:val="00A06D0D"/>
    <w:rsid w:val="00A11162"/>
    <w:rsid w:val="00A1241B"/>
    <w:rsid w:val="00A13D39"/>
    <w:rsid w:val="00A1406A"/>
    <w:rsid w:val="00A14893"/>
    <w:rsid w:val="00A23522"/>
    <w:rsid w:val="00A23BDA"/>
    <w:rsid w:val="00A25238"/>
    <w:rsid w:val="00A256FB"/>
    <w:rsid w:val="00A258BE"/>
    <w:rsid w:val="00A33D2F"/>
    <w:rsid w:val="00A33FA1"/>
    <w:rsid w:val="00A369B9"/>
    <w:rsid w:val="00A436BE"/>
    <w:rsid w:val="00A45CC5"/>
    <w:rsid w:val="00A45F52"/>
    <w:rsid w:val="00A47BA0"/>
    <w:rsid w:val="00A5178B"/>
    <w:rsid w:val="00A54CF2"/>
    <w:rsid w:val="00A567F8"/>
    <w:rsid w:val="00A56FC0"/>
    <w:rsid w:val="00A577DE"/>
    <w:rsid w:val="00A60E8A"/>
    <w:rsid w:val="00A61ED8"/>
    <w:rsid w:val="00A64392"/>
    <w:rsid w:val="00A72508"/>
    <w:rsid w:val="00A74106"/>
    <w:rsid w:val="00A822CE"/>
    <w:rsid w:val="00A906FC"/>
    <w:rsid w:val="00A90BB8"/>
    <w:rsid w:val="00A91193"/>
    <w:rsid w:val="00A92D11"/>
    <w:rsid w:val="00A95E79"/>
    <w:rsid w:val="00A95FA0"/>
    <w:rsid w:val="00A97460"/>
    <w:rsid w:val="00AA24D7"/>
    <w:rsid w:val="00AA5B2C"/>
    <w:rsid w:val="00AA6BA4"/>
    <w:rsid w:val="00AA74A6"/>
    <w:rsid w:val="00AC2321"/>
    <w:rsid w:val="00AD0739"/>
    <w:rsid w:val="00AE37EF"/>
    <w:rsid w:val="00AE734E"/>
    <w:rsid w:val="00AF01CF"/>
    <w:rsid w:val="00AF3EDC"/>
    <w:rsid w:val="00AF64E2"/>
    <w:rsid w:val="00B042E1"/>
    <w:rsid w:val="00B10288"/>
    <w:rsid w:val="00B20439"/>
    <w:rsid w:val="00B225D6"/>
    <w:rsid w:val="00B27E09"/>
    <w:rsid w:val="00B3134A"/>
    <w:rsid w:val="00B322B0"/>
    <w:rsid w:val="00B349FB"/>
    <w:rsid w:val="00B34D2E"/>
    <w:rsid w:val="00B37F8A"/>
    <w:rsid w:val="00B41F0D"/>
    <w:rsid w:val="00B42838"/>
    <w:rsid w:val="00B46A7A"/>
    <w:rsid w:val="00B46F92"/>
    <w:rsid w:val="00B47E69"/>
    <w:rsid w:val="00B513DC"/>
    <w:rsid w:val="00B53025"/>
    <w:rsid w:val="00B5610F"/>
    <w:rsid w:val="00B62425"/>
    <w:rsid w:val="00B64579"/>
    <w:rsid w:val="00B6464D"/>
    <w:rsid w:val="00B653F5"/>
    <w:rsid w:val="00B672D9"/>
    <w:rsid w:val="00B70872"/>
    <w:rsid w:val="00B77643"/>
    <w:rsid w:val="00B87371"/>
    <w:rsid w:val="00B908E4"/>
    <w:rsid w:val="00B9640E"/>
    <w:rsid w:val="00BA18B6"/>
    <w:rsid w:val="00BA5D80"/>
    <w:rsid w:val="00BA5F29"/>
    <w:rsid w:val="00BB15D4"/>
    <w:rsid w:val="00BB48BE"/>
    <w:rsid w:val="00BC7957"/>
    <w:rsid w:val="00BD0B5E"/>
    <w:rsid w:val="00BD3B9A"/>
    <w:rsid w:val="00BD6E00"/>
    <w:rsid w:val="00BD73F0"/>
    <w:rsid w:val="00BD7F89"/>
    <w:rsid w:val="00BE3387"/>
    <w:rsid w:val="00BE6137"/>
    <w:rsid w:val="00BE6956"/>
    <w:rsid w:val="00BF1EB5"/>
    <w:rsid w:val="00BF3F44"/>
    <w:rsid w:val="00BF624B"/>
    <w:rsid w:val="00BF6399"/>
    <w:rsid w:val="00C0105F"/>
    <w:rsid w:val="00C020CC"/>
    <w:rsid w:val="00C02FC0"/>
    <w:rsid w:val="00C14472"/>
    <w:rsid w:val="00C16A2B"/>
    <w:rsid w:val="00C3075D"/>
    <w:rsid w:val="00C35937"/>
    <w:rsid w:val="00C3687D"/>
    <w:rsid w:val="00C37FC8"/>
    <w:rsid w:val="00C42DE3"/>
    <w:rsid w:val="00C4372F"/>
    <w:rsid w:val="00C46A55"/>
    <w:rsid w:val="00C5174A"/>
    <w:rsid w:val="00C5359E"/>
    <w:rsid w:val="00C5466C"/>
    <w:rsid w:val="00C552BF"/>
    <w:rsid w:val="00C55878"/>
    <w:rsid w:val="00C644DB"/>
    <w:rsid w:val="00C65DAC"/>
    <w:rsid w:val="00C7104E"/>
    <w:rsid w:val="00C71064"/>
    <w:rsid w:val="00C73BD5"/>
    <w:rsid w:val="00C83EE9"/>
    <w:rsid w:val="00C84FA7"/>
    <w:rsid w:val="00C86FD0"/>
    <w:rsid w:val="00C95DED"/>
    <w:rsid w:val="00CA1C44"/>
    <w:rsid w:val="00CA31B6"/>
    <w:rsid w:val="00CA41C9"/>
    <w:rsid w:val="00CA71B4"/>
    <w:rsid w:val="00CB1BD4"/>
    <w:rsid w:val="00CB4C95"/>
    <w:rsid w:val="00CB64F5"/>
    <w:rsid w:val="00CB6AE8"/>
    <w:rsid w:val="00CC60C2"/>
    <w:rsid w:val="00CD3C0D"/>
    <w:rsid w:val="00CD41E2"/>
    <w:rsid w:val="00CE26B3"/>
    <w:rsid w:val="00CE5815"/>
    <w:rsid w:val="00CE7956"/>
    <w:rsid w:val="00CF226B"/>
    <w:rsid w:val="00CF2531"/>
    <w:rsid w:val="00CF4256"/>
    <w:rsid w:val="00CF5D9D"/>
    <w:rsid w:val="00D00505"/>
    <w:rsid w:val="00D03C4F"/>
    <w:rsid w:val="00D042E1"/>
    <w:rsid w:val="00D111D1"/>
    <w:rsid w:val="00D119C4"/>
    <w:rsid w:val="00D1338B"/>
    <w:rsid w:val="00D16E4C"/>
    <w:rsid w:val="00D22CB8"/>
    <w:rsid w:val="00D2377B"/>
    <w:rsid w:val="00D23B38"/>
    <w:rsid w:val="00D264FA"/>
    <w:rsid w:val="00D26992"/>
    <w:rsid w:val="00D31296"/>
    <w:rsid w:val="00D34CC4"/>
    <w:rsid w:val="00D422B7"/>
    <w:rsid w:val="00D44818"/>
    <w:rsid w:val="00D47CF4"/>
    <w:rsid w:val="00D47D0F"/>
    <w:rsid w:val="00D516D3"/>
    <w:rsid w:val="00D51C58"/>
    <w:rsid w:val="00D51F73"/>
    <w:rsid w:val="00D52129"/>
    <w:rsid w:val="00D57415"/>
    <w:rsid w:val="00D67770"/>
    <w:rsid w:val="00D729BC"/>
    <w:rsid w:val="00D74DAF"/>
    <w:rsid w:val="00D935F8"/>
    <w:rsid w:val="00D960F3"/>
    <w:rsid w:val="00D96CDF"/>
    <w:rsid w:val="00D97852"/>
    <w:rsid w:val="00DA0E10"/>
    <w:rsid w:val="00DA3351"/>
    <w:rsid w:val="00DB209A"/>
    <w:rsid w:val="00DB286F"/>
    <w:rsid w:val="00DB2C32"/>
    <w:rsid w:val="00DC0E15"/>
    <w:rsid w:val="00DC1EA8"/>
    <w:rsid w:val="00DC7F14"/>
    <w:rsid w:val="00DD15B3"/>
    <w:rsid w:val="00DD5F95"/>
    <w:rsid w:val="00DD6575"/>
    <w:rsid w:val="00DD6B78"/>
    <w:rsid w:val="00DE073A"/>
    <w:rsid w:val="00DE1A42"/>
    <w:rsid w:val="00DE774D"/>
    <w:rsid w:val="00DF2128"/>
    <w:rsid w:val="00DF36C5"/>
    <w:rsid w:val="00DF4448"/>
    <w:rsid w:val="00E03067"/>
    <w:rsid w:val="00E032E4"/>
    <w:rsid w:val="00E12358"/>
    <w:rsid w:val="00E16650"/>
    <w:rsid w:val="00E21ADD"/>
    <w:rsid w:val="00E21E52"/>
    <w:rsid w:val="00E252F1"/>
    <w:rsid w:val="00E25532"/>
    <w:rsid w:val="00E263D8"/>
    <w:rsid w:val="00E26585"/>
    <w:rsid w:val="00E352B1"/>
    <w:rsid w:val="00E36025"/>
    <w:rsid w:val="00E373E6"/>
    <w:rsid w:val="00E41553"/>
    <w:rsid w:val="00E4410D"/>
    <w:rsid w:val="00E44475"/>
    <w:rsid w:val="00E50C22"/>
    <w:rsid w:val="00E51244"/>
    <w:rsid w:val="00E54E43"/>
    <w:rsid w:val="00E57792"/>
    <w:rsid w:val="00E57879"/>
    <w:rsid w:val="00E60BA3"/>
    <w:rsid w:val="00E63DB3"/>
    <w:rsid w:val="00E6481A"/>
    <w:rsid w:val="00E74110"/>
    <w:rsid w:val="00E77314"/>
    <w:rsid w:val="00E77FCA"/>
    <w:rsid w:val="00E81A2D"/>
    <w:rsid w:val="00E86342"/>
    <w:rsid w:val="00E86641"/>
    <w:rsid w:val="00E901F3"/>
    <w:rsid w:val="00E950FC"/>
    <w:rsid w:val="00E97E21"/>
    <w:rsid w:val="00EA119B"/>
    <w:rsid w:val="00EA1EB2"/>
    <w:rsid w:val="00EA3BA5"/>
    <w:rsid w:val="00EA441F"/>
    <w:rsid w:val="00EA49B2"/>
    <w:rsid w:val="00EA5FB6"/>
    <w:rsid w:val="00EB24F3"/>
    <w:rsid w:val="00EB2F34"/>
    <w:rsid w:val="00EB603C"/>
    <w:rsid w:val="00EC02EB"/>
    <w:rsid w:val="00EC08D4"/>
    <w:rsid w:val="00EC1959"/>
    <w:rsid w:val="00ED026C"/>
    <w:rsid w:val="00ED0B16"/>
    <w:rsid w:val="00ED3A74"/>
    <w:rsid w:val="00ED63D1"/>
    <w:rsid w:val="00ED6933"/>
    <w:rsid w:val="00ED7BCE"/>
    <w:rsid w:val="00EE5426"/>
    <w:rsid w:val="00EF30D5"/>
    <w:rsid w:val="00EF4BBA"/>
    <w:rsid w:val="00EF69C7"/>
    <w:rsid w:val="00F005B5"/>
    <w:rsid w:val="00F00880"/>
    <w:rsid w:val="00F00C99"/>
    <w:rsid w:val="00F00CEC"/>
    <w:rsid w:val="00F03C0B"/>
    <w:rsid w:val="00F0586B"/>
    <w:rsid w:val="00F129E2"/>
    <w:rsid w:val="00F1405C"/>
    <w:rsid w:val="00F200E3"/>
    <w:rsid w:val="00F246AE"/>
    <w:rsid w:val="00F24D01"/>
    <w:rsid w:val="00F26B57"/>
    <w:rsid w:val="00F27043"/>
    <w:rsid w:val="00F30848"/>
    <w:rsid w:val="00F336F5"/>
    <w:rsid w:val="00F35B60"/>
    <w:rsid w:val="00F363EB"/>
    <w:rsid w:val="00F521A8"/>
    <w:rsid w:val="00F534E9"/>
    <w:rsid w:val="00F60EA7"/>
    <w:rsid w:val="00F61228"/>
    <w:rsid w:val="00F6246E"/>
    <w:rsid w:val="00F63CC3"/>
    <w:rsid w:val="00F642F5"/>
    <w:rsid w:val="00F73737"/>
    <w:rsid w:val="00F749BF"/>
    <w:rsid w:val="00F760E3"/>
    <w:rsid w:val="00F7796E"/>
    <w:rsid w:val="00F80C6A"/>
    <w:rsid w:val="00F828C4"/>
    <w:rsid w:val="00F872C3"/>
    <w:rsid w:val="00F87CEE"/>
    <w:rsid w:val="00F909EC"/>
    <w:rsid w:val="00F93638"/>
    <w:rsid w:val="00F96541"/>
    <w:rsid w:val="00F96B04"/>
    <w:rsid w:val="00FA231B"/>
    <w:rsid w:val="00FB2AC4"/>
    <w:rsid w:val="00FB3015"/>
    <w:rsid w:val="00FB4775"/>
    <w:rsid w:val="00FB47B1"/>
    <w:rsid w:val="00FB4B82"/>
    <w:rsid w:val="00FB5A6D"/>
    <w:rsid w:val="00FB5DAC"/>
    <w:rsid w:val="00FB65A2"/>
    <w:rsid w:val="00FB7898"/>
    <w:rsid w:val="00FB7F08"/>
    <w:rsid w:val="00FC0C8D"/>
    <w:rsid w:val="00FC3DDE"/>
    <w:rsid w:val="00FC68E7"/>
    <w:rsid w:val="00FD3A77"/>
    <w:rsid w:val="00FD3DB8"/>
    <w:rsid w:val="00FD4D7C"/>
    <w:rsid w:val="00FD5424"/>
    <w:rsid w:val="00FE4D20"/>
    <w:rsid w:val="00FE5531"/>
    <w:rsid w:val="00FE71F2"/>
    <w:rsid w:val="00FF1B85"/>
    <w:rsid w:val="00FF2B01"/>
    <w:rsid w:val="00FF3139"/>
    <w:rsid w:val="295F03AD"/>
    <w:rsid w:val="718317A4"/>
    <w:rsid w:val="7797CAF4"/>
    <w:rsid w:val="F5F7F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27"/>
    <w:qFormat/>
    <w:uiPriority w:val="0"/>
    <w:pPr>
      <w:keepNext/>
      <w:keepLines/>
      <w:spacing w:before="100" w:beforeAutospacing="1" w:after="100" w:afterAutospacing="1" w:line="560" w:lineRule="exact"/>
      <w:ind w:firstLine="641"/>
      <w:outlineLvl w:val="0"/>
    </w:pPr>
    <w:rPr>
      <w:rFonts w:eastAsia="黑体"/>
      <w:b/>
      <w:bCs/>
      <w:kern w:val="44"/>
      <w:sz w:val="32"/>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800"/>
      <w:jc w:val="left"/>
    </w:pPr>
    <w:rPr>
      <w:rFonts w:asciiTheme="minorHAnsi" w:hAnsiTheme="minorHAnsi" w:cstheme="minorHAnsi"/>
      <w:sz w:val="18"/>
      <w:szCs w:val="18"/>
    </w:rPr>
  </w:style>
  <w:style w:type="paragraph" w:styleId="7">
    <w:name w:val="Document Map"/>
    <w:basedOn w:val="1"/>
    <w:link w:val="29"/>
    <w:qFormat/>
    <w:uiPriority w:val="0"/>
    <w:rPr>
      <w:rFonts w:ascii="宋体" w:eastAsia="宋体"/>
      <w:sz w:val="18"/>
      <w:szCs w:val="18"/>
    </w:rPr>
  </w:style>
  <w:style w:type="paragraph" w:styleId="8">
    <w:name w:val="toc 5"/>
    <w:basedOn w:val="1"/>
    <w:next w:val="1"/>
    <w:qFormat/>
    <w:uiPriority w:val="0"/>
    <w:pPr>
      <w:ind w:left="1200"/>
      <w:jc w:val="left"/>
    </w:pPr>
    <w:rPr>
      <w:rFonts w:asciiTheme="minorHAnsi" w:hAnsiTheme="minorHAnsi" w:cstheme="minorHAnsi"/>
      <w:sz w:val="18"/>
      <w:szCs w:val="18"/>
    </w:rPr>
  </w:style>
  <w:style w:type="paragraph" w:styleId="9">
    <w:name w:val="toc 3"/>
    <w:basedOn w:val="1"/>
    <w:next w:val="1"/>
    <w:qFormat/>
    <w:uiPriority w:val="39"/>
    <w:pPr>
      <w:ind w:left="600"/>
      <w:jc w:val="left"/>
    </w:pPr>
    <w:rPr>
      <w:rFonts w:asciiTheme="minorHAnsi" w:hAnsiTheme="minorHAnsi" w:cstheme="minorHAnsi"/>
      <w:i/>
      <w:iCs/>
      <w:sz w:val="20"/>
      <w:szCs w:val="20"/>
    </w:rPr>
  </w:style>
  <w:style w:type="paragraph" w:styleId="10">
    <w:name w:val="toc 8"/>
    <w:basedOn w:val="1"/>
    <w:next w:val="1"/>
    <w:qFormat/>
    <w:uiPriority w:val="0"/>
    <w:pPr>
      <w:ind w:left="2100"/>
      <w:jc w:val="left"/>
    </w:pPr>
    <w:rPr>
      <w:rFonts w:asciiTheme="minorHAnsi" w:hAnsiTheme="minorHAnsi" w:cstheme="minorHAnsi"/>
      <w:sz w:val="18"/>
      <w:szCs w:val="18"/>
    </w:rPr>
  </w:style>
  <w:style w:type="paragraph" w:styleId="11">
    <w:name w:val="Balloon Text"/>
    <w:basedOn w:val="1"/>
    <w:link w:val="32"/>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948"/>
      </w:tabs>
      <w:spacing w:before="120" w:after="120"/>
      <w:jc w:val="left"/>
    </w:pPr>
    <w:rPr>
      <w:rFonts w:asciiTheme="minorEastAsia" w:hAnsiTheme="minorEastAsia" w:eastAsiaTheme="minorEastAsia" w:cstheme="minorHAnsi"/>
      <w:bCs/>
      <w:caps/>
      <w:spacing w:val="6"/>
      <w:sz w:val="28"/>
      <w:szCs w:val="28"/>
    </w:rPr>
  </w:style>
  <w:style w:type="paragraph" w:styleId="15">
    <w:name w:val="toc 4"/>
    <w:basedOn w:val="1"/>
    <w:next w:val="1"/>
    <w:qFormat/>
    <w:uiPriority w:val="0"/>
    <w:pPr>
      <w:ind w:left="900"/>
      <w:jc w:val="left"/>
    </w:pPr>
    <w:rPr>
      <w:rFonts w:asciiTheme="minorHAnsi" w:hAnsiTheme="minorHAnsi" w:cstheme="minorHAnsi"/>
      <w:sz w:val="18"/>
      <w:szCs w:val="18"/>
    </w:rPr>
  </w:style>
  <w:style w:type="paragraph" w:styleId="16">
    <w:name w:val="Subtitle"/>
    <w:basedOn w:val="1"/>
    <w:next w:val="1"/>
    <w:link w:val="33"/>
    <w:qFormat/>
    <w:uiPriority w:val="0"/>
    <w:pPr>
      <w:spacing w:line="560" w:lineRule="exact"/>
      <w:ind w:firstLine="200" w:firstLineChars="200"/>
      <w:jc w:val="left"/>
      <w:outlineLvl w:val="1"/>
    </w:pPr>
    <w:rPr>
      <w:rFonts w:ascii="Cambria" w:hAnsi="Cambria" w:eastAsia="楷体_GB2312"/>
      <w:b/>
      <w:bCs/>
      <w:kern w:val="28"/>
      <w:sz w:val="32"/>
      <w:szCs w:val="32"/>
    </w:rPr>
  </w:style>
  <w:style w:type="paragraph" w:styleId="17">
    <w:name w:val="toc 6"/>
    <w:basedOn w:val="1"/>
    <w:next w:val="1"/>
    <w:qFormat/>
    <w:uiPriority w:val="0"/>
    <w:pPr>
      <w:ind w:left="1500"/>
      <w:jc w:val="left"/>
    </w:pPr>
    <w:rPr>
      <w:rFonts w:asciiTheme="minorHAnsi" w:hAnsiTheme="minorHAnsi" w:cstheme="minorHAnsi"/>
      <w:sz w:val="18"/>
      <w:szCs w:val="18"/>
    </w:rPr>
  </w:style>
  <w:style w:type="paragraph" w:styleId="18">
    <w:name w:val="toc 2"/>
    <w:basedOn w:val="1"/>
    <w:next w:val="1"/>
    <w:qFormat/>
    <w:uiPriority w:val="39"/>
    <w:pPr>
      <w:ind w:left="300"/>
      <w:jc w:val="left"/>
    </w:pPr>
    <w:rPr>
      <w:rFonts w:asciiTheme="minorHAnsi" w:hAnsiTheme="minorHAnsi" w:cstheme="minorHAnsi"/>
      <w:smallCaps/>
      <w:sz w:val="20"/>
      <w:szCs w:val="20"/>
    </w:rPr>
  </w:style>
  <w:style w:type="paragraph" w:styleId="19">
    <w:name w:val="toc 9"/>
    <w:basedOn w:val="1"/>
    <w:next w:val="1"/>
    <w:qFormat/>
    <w:uiPriority w:val="0"/>
    <w:pPr>
      <w:ind w:left="2400"/>
      <w:jc w:val="left"/>
    </w:pPr>
    <w:rPr>
      <w:rFonts w:asciiTheme="minorHAnsi" w:hAnsiTheme="minorHAnsi" w:cstheme="minorHAnsi"/>
      <w:sz w:val="18"/>
      <w:szCs w:val="18"/>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22">
    <w:name w:val="Table Grid"/>
    <w:basedOn w:val="21"/>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Emphasis"/>
    <w:qFormat/>
    <w:uiPriority w:val="20"/>
    <w:rPr>
      <w:i/>
      <w:iCs/>
    </w:rPr>
  </w:style>
  <w:style w:type="character" w:styleId="26">
    <w:name w:val="Hyperlink"/>
    <w:basedOn w:val="23"/>
    <w:unhideWhenUsed/>
    <w:qFormat/>
    <w:uiPriority w:val="99"/>
    <w:rPr>
      <w:color w:val="0000FF"/>
      <w:u w:val="single"/>
    </w:rPr>
  </w:style>
  <w:style w:type="character" w:customStyle="1" w:styleId="27">
    <w:name w:val="标题 1 Char"/>
    <w:basedOn w:val="23"/>
    <w:link w:val="2"/>
    <w:qFormat/>
    <w:uiPriority w:val="0"/>
    <w:rPr>
      <w:rFonts w:ascii="Times New Roman" w:hAnsi="Times New Roman" w:eastAsia="黑体" w:cs="Times New Roman"/>
      <w:b/>
      <w:bCs/>
      <w:kern w:val="44"/>
      <w:sz w:val="32"/>
      <w:szCs w:val="44"/>
    </w:rPr>
  </w:style>
  <w:style w:type="character" w:customStyle="1" w:styleId="28">
    <w:name w:val="标题 2 Char"/>
    <w:basedOn w:val="23"/>
    <w:link w:val="3"/>
    <w:qFormat/>
    <w:uiPriority w:val="0"/>
    <w:rPr>
      <w:rFonts w:asciiTheme="majorHAnsi" w:hAnsiTheme="majorHAnsi" w:eastAsiaTheme="majorEastAsia" w:cstheme="majorBidi"/>
      <w:b/>
      <w:bCs/>
      <w:sz w:val="32"/>
      <w:szCs w:val="32"/>
    </w:rPr>
  </w:style>
  <w:style w:type="character" w:customStyle="1" w:styleId="29">
    <w:name w:val="文档结构图 Char"/>
    <w:basedOn w:val="23"/>
    <w:link w:val="7"/>
    <w:qFormat/>
    <w:uiPriority w:val="0"/>
    <w:rPr>
      <w:rFonts w:ascii="宋体" w:hAnsi="Times New Roman" w:eastAsia="宋体" w:cs="Times New Roman"/>
      <w:sz w:val="18"/>
      <w:szCs w:val="18"/>
    </w:rPr>
  </w:style>
  <w:style w:type="character" w:customStyle="1" w:styleId="30">
    <w:name w:val="页眉 Char"/>
    <w:basedOn w:val="23"/>
    <w:link w:val="13"/>
    <w:qFormat/>
    <w:uiPriority w:val="0"/>
    <w:rPr>
      <w:rFonts w:ascii="Times New Roman" w:hAnsi="Times New Roman" w:eastAsia="仿宋_GB2312" w:cs="Times New Roman"/>
      <w:sz w:val="18"/>
      <w:szCs w:val="18"/>
    </w:rPr>
  </w:style>
  <w:style w:type="character" w:customStyle="1" w:styleId="31">
    <w:name w:val="页脚 Char"/>
    <w:basedOn w:val="23"/>
    <w:link w:val="12"/>
    <w:qFormat/>
    <w:uiPriority w:val="99"/>
    <w:rPr>
      <w:rFonts w:ascii="Times New Roman" w:hAnsi="Times New Roman" w:eastAsia="仿宋_GB2312" w:cs="Times New Roman"/>
      <w:sz w:val="18"/>
      <w:szCs w:val="18"/>
    </w:rPr>
  </w:style>
  <w:style w:type="character" w:customStyle="1" w:styleId="32">
    <w:name w:val="批注框文本 Char"/>
    <w:basedOn w:val="23"/>
    <w:link w:val="11"/>
    <w:qFormat/>
    <w:uiPriority w:val="0"/>
    <w:rPr>
      <w:rFonts w:ascii="Times New Roman" w:hAnsi="Times New Roman" w:eastAsia="仿宋_GB2312" w:cs="Times New Roman"/>
      <w:sz w:val="18"/>
      <w:szCs w:val="18"/>
    </w:rPr>
  </w:style>
  <w:style w:type="character" w:customStyle="1" w:styleId="33">
    <w:name w:val="副标题 Char"/>
    <w:basedOn w:val="23"/>
    <w:link w:val="16"/>
    <w:qFormat/>
    <w:uiPriority w:val="0"/>
    <w:rPr>
      <w:rFonts w:ascii="Cambria" w:hAnsi="Cambria" w:eastAsia="楷体_GB2312" w:cs="Times New Roman"/>
      <w:b/>
      <w:bCs/>
      <w:kern w:val="28"/>
      <w:sz w:val="32"/>
      <w:szCs w:val="32"/>
    </w:rPr>
  </w:style>
  <w:style w:type="character" w:customStyle="1" w:styleId="34">
    <w:name w:val="apple-converted-space"/>
    <w:basedOn w:val="23"/>
    <w:qFormat/>
    <w:uiPriority w:val="0"/>
  </w:style>
  <w:style w:type="paragraph" w:customStyle="1" w:styleId="35">
    <w:name w:val="_Style 2"/>
    <w:basedOn w:val="7"/>
    <w:qFormat/>
    <w:uiPriority w:val="0"/>
    <w:pPr>
      <w:shd w:val="clear" w:color="auto" w:fill="000080"/>
    </w:pPr>
    <w:rPr>
      <w:rFonts w:ascii="Times New Roman"/>
      <w:sz w:val="21"/>
      <w:szCs w:val="24"/>
    </w:rPr>
  </w:style>
  <w:style w:type="paragraph" w:styleId="36">
    <w:name w:val="List Paragraph"/>
    <w:basedOn w:val="1"/>
    <w:qFormat/>
    <w:uiPriority w:val="34"/>
    <w:pPr>
      <w:ind w:firstLine="420" w:firstLineChars="200"/>
    </w:pPr>
  </w:style>
  <w:style w:type="character" w:customStyle="1" w:styleId="37">
    <w:name w:val="标题 3 Char"/>
    <w:basedOn w:val="23"/>
    <w:link w:val="4"/>
    <w:qFormat/>
    <w:uiPriority w:val="9"/>
    <w:rPr>
      <w:b/>
      <w:bCs/>
      <w:sz w:val="32"/>
      <w:szCs w:val="32"/>
    </w:rPr>
  </w:style>
  <w:style w:type="character" w:customStyle="1" w:styleId="38">
    <w:name w:val="标题 4 Char"/>
    <w:basedOn w:val="23"/>
    <w:link w:val="5"/>
    <w:qFormat/>
    <w:uiPriority w:val="9"/>
    <w:rPr>
      <w:rFonts w:asciiTheme="majorHAnsi" w:hAnsiTheme="majorHAnsi" w:eastAsiaTheme="majorEastAsia" w:cstheme="majorBidi"/>
      <w:b/>
      <w:bCs/>
      <w:sz w:val="28"/>
      <w:szCs w:val="28"/>
    </w:rPr>
  </w:style>
  <w:style w:type="paragraph" w:customStyle="1" w:styleId="39">
    <w:name w:val="TOC 标题1"/>
    <w:basedOn w:val="2"/>
    <w:next w:val="1"/>
    <w:semiHidden/>
    <w:unhideWhenUsed/>
    <w:qFormat/>
    <w:uiPriority w:val="39"/>
    <w:pPr>
      <w:widowControl/>
      <w:spacing w:before="480" w:beforeAutospacing="0" w:after="0" w:afterAutospacing="0" w:line="276" w:lineRule="auto"/>
      <w:ind w:firstLine="0"/>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36</Pages>
  <Words>2841</Words>
  <Characters>16198</Characters>
  <Lines>134</Lines>
  <Paragraphs>38</Paragraphs>
  <TotalTime>17</TotalTime>
  <ScaleCrop>false</ScaleCrop>
  <LinksUpToDate>false</LinksUpToDate>
  <CharactersWithSpaces>19001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2020-05-28T23:09:00Z</dcterms:created>
  <dc:creator>cx</dc:creator>
  <cp:lastModifiedBy>wzzy</cp:lastModifiedBy>
  <cp:lastPrinted>2020-05-28T23:18:00Z</cp:lastPrinted>
  <dcterms:modified xsi:type="dcterms:W3CDTF">2023-09-12T15:45:33Z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