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BF" w:rsidRDefault="00F13AF9">
      <w:pPr>
        <w:jc w:val="right"/>
        <w:rPr>
          <w:rFonts w:ascii="黑体" w:eastAsia="黑体" w:hAnsi="黑体" w:cs="黑体"/>
          <w:sz w:val="32"/>
          <w:szCs w:val="32"/>
        </w:rPr>
      </w:pPr>
      <w:r>
        <w:rPr>
          <w:rFonts w:ascii="黑体" w:eastAsia="黑体" w:hAnsi="黑体" w:cs="黑体" w:hint="eastAsia"/>
          <w:sz w:val="32"/>
          <w:szCs w:val="32"/>
        </w:rPr>
        <w:t>QFGD-2019-02003</w:t>
      </w:r>
    </w:p>
    <w:p w:rsidR="006061BF" w:rsidRDefault="006061BF">
      <w:pPr>
        <w:jc w:val="right"/>
        <w:rPr>
          <w:rFonts w:ascii="黑体" w:eastAsia="黑体" w:hAnsi="黑体" w:cs="黑体"/>
          <w:sz w:val="32"/>
          <w:szCs w:val="32"/>
        </w:rPr>
      </w:pPr>
    </w:p>
    <w:p w:rsidR="006061BF" w:rsidRDefault="00F13AF9">
      <w:pPr>
        <w:adjustRightInd w:val="0"/>
        <w:snapToGrid w:val="0"/>
        <w:spacing w:line="1040" w:lineRule="exact"/>
        <w:jc w:val="left"/>
        <w:rPr>
          <w:rFonts w:ascii="方正大标宋_GBK" w:eastAsia="方正大标宋_GBK" w:hAnsi="方正大标宋_GBK" w:cs="方正大标宋_GBK"/>
          <w:bCs/>
          <w:color w:val="FF0000"/>
          <w:w w:val="70"/>
          <w:sz w:val="84"/>
          <w:szCs w:val="84"/>
        </w:rPr>
      </w:pPr>
      <w:r>
        <w:rPr>
          <w:rFonts w:ascii="方正大标宋_GBK" w:eastAsia="方正大标宋_GBK" w:hAnsi="方正大标宋_GBK" w:cs="方正大标宋_GBK" w:hint="eastAsia"/>
          <w:bCs/>
          <w:color w:val="FF0000"/>
          <w:spacing w:val="57"/>
          <w:w w:val="70"/>
          <w:sz w:val="84"/>
          <w:szCs w:val="84"/>
        </w:rPr>
        <w:t>贵州省工业和信息化</w:t>
      </w:r>
      <w:r>
        <w:rPr>
          <w:rFonts w:ascii="方正大标宋_GBK" w:eastAsia="方正大标宋_GBK" w:hAnsi="方正大标宋_GBK" w:cs="方正大标宋_GBK" w:hint="eastAsia"/>
          <w:bCs/>
          <w:color w:val="FF0000"/>
          <w:w w:val="70"/>
          <w:sz w:val="84"/>
          <w:szCs w:val="84"/>
        </w:rPr>
        <w:t>厅</w:t>
      </w:r>
    </w:p>
    <w:p w:rsidR="006061BF" w:rsidRDefault="00BB301F">
      <w:pPr>
        <w:tabs>
          <w:tab w:val="left" w:pos="7508"/>
        </w:tabs>
        <w:adjustRightInd w:val="0"/>
        <w:snapToGrid w:val="0"/>
        <w:spacing w:line="1040" w:lineRule="exact"/>
        <w:jc w:val="left"/>
        <w:rPr>
          <w:rFonts w:ascii="方正大标宋_GBK" w:eastAsia="方正大标宋_GBK" w:hAnsi="方正大标宋_GBK" w:cs="方正大标宋_GBK"/>
          <w:bCs/>
          <w:color w:val="FF0000"/>
          <w:spacing w:val="50"/>
          <w:w w:val="70"/>
          <w:sz w:val="84"/>
          <w:szCs w:val="84"/>
        </w:rPr>
      </w:pPr>
      <w:r w:rsidRPr="00BB301F">
        <w:rPr>
          <w:rFonts w:ascii="方正大标宋_GBK" w:eastAsia="方正大标宋_GBK" w:hAnsi="方正大标宋_GBK" w:cs="方正大标宋_GBK"/>
          <w:bCs/>
          <w:spacing w:val="92"/>
          <w:w w:val="70"/>
          <w:sz w:val="84"/>
          <w:szCs w:val="84"/>
        </w:rPr>
        <w:pict>
          <v:shapetype id="_x0000_t202" coordsize="21600,21600" o:spt="202" path="m,l,21600r21600,l21600,xe">
            <v:stroke joinstyle="miter"/>
            <v:path gradientshapeok="t" o:connecttype="rect"/>
          </v:shapetype>
          <v:shape id="_x0000_s1026" type="#_x0000_t202" style="position:absolute;margin-left:339.35pt;margin-top:28.85pt;width:107.3pt;height:76.7pt;z-index:251657216" o:gfxdata="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xfedjWAAAACgEAAA8AAAAAAAAAAQAgAAAAIgAA&#10;AGRycy9kb3ducmV2LnhtbFBLAQIUABQAAAAIAIdO4kCItMECQwIAAE0EAAAOAAAAAAAAAAEAIAAA&#10;ACUBAABkcnMvZTJvRG9jLnhtbFBLBQYAAAAABgAGAFkBAADaBQAAAAA=&#10;" fillcolor="white [3212]" stroked="f" strokeweight=".5pt">
            <v:textbox>
              <w:txbxContent>
                <w:p w:rsidR="00F13AF9" w:rsidRDefault="00F13AF9">
                  <w:pPr>
                    <w:rPr>
                      <w:rFonts w:ascii="方正大标宋_GBK" w:eastAsia="方正大标宋_GBK" w:hAnsi="方正大标宋_GBK" w:cs="方正大标宋_GBK"/>
                      <w:color w:val="FF0000"/>
                      <w:sz w:val="90"/>
                      <w:szCs w:val="90"/>
                    </w:rPr>
                  </w:pPr>
                  <w:r>
                    <w:rPr>
                      <w:rFonts w:ascii="方正大标宋_GBK" w:eastAsia="方正大标宋_GBK" w:hAnsi="方正大标宋_GBK" w:cs="方正大标宋_GBK" w:hint="eastAsia"/>
                      <w:color w:val="FF0000"/>
                      <w:w w:val="90"/>
                      <w:sz w:val="90"/>
                      <w:szCs w:val="90"/>
                    </w:rPr>
                    <w:t>文件</w:t>
                  </w:r>
                </w:p>
              </w:txbxContent>
            </v:textbox>
          </v:shape>
        </w:pict>
      </w:r>
      <w:r w:rsidR="00F13AF9">
        <w:rPr>
          <w:rFonts w:ascii="方正大标宋_GBK" w:eastAsia="方正大标宋_GBK" w:hAnsi="方正大标宋_GBK" w:cs="方正大标宋_GBK" w:hint="eastAsia"/>
          <w:bCs/>
          <w:color w:val="FF0000"/>
          <w:spacing w:val="92"/>
          <w:w w:val="70"/>
          <w:sz w:val="84"/>
          <w:szCs w:val="84"/>
        </w:rPr>
        <w:t xml:space="preserve">贵 州 </w:t>
      </w:r>
      <w:bookmarkStart w:id="0" w:name="_GoBack"/>
      <w:bookmarkEnd w:id="0"/>
      <w:r w:rsidR="00F13AF9">
        <w:rPr>
          <w:rFonts w:ascii="方正大标宋_GBK" w:eastAsia="方正大标宋_GBK" w:hAnsi="方正大标宋_GBK" w:cs="方正大标宋_GBK" w:hint="eastAsia"/>
          <w:bCs/>
          <w:color w:val="FF0000"/>
          <w:spacing w:val="92"/>
          <w:w w:val="70"/>
          <w:sz w:val="84"/>
          <w:szCs w:val="84"/>
        </w:rPr>
        <w:t xml:space="preserve">省 财 政 </w:t>
      </w:r>
      <w:r w:rsidR="00F13AF9">
        <w:rPr>
          <w:rFonts w:ascii="方正大标宋_GBK" w:eastAsia="方正大标宋_GBK" w:hAnsi="方正大标宋_GBK" w:cs="方正大标宋_GBK" w:hint="eastAsia"/>
          <w:bCs/>
          <w:color w:val="FF0000"/>
          <w:spacing w:val="50"/>
          <w:w w:val="70"/>
          <w:sz w:val="84"/>
          <w:szCs w:val="84"/>
        </w:rPr>
        <w:t xml:space="preserve">厅 </w:t>
      </w:r>
    </w:p>
    <w:p w:rsidR="006061BF" w:rsidRDefault="00F13AF9">
      <w:pPr>
        <w:adjustRightInd w:val="0"/>
        <w:snapToGrid w:val="0"/>
        <w:spacing w:line="1040" w:lineRule="exact"/>
        <w:jc w:val="left"/>
        <w:rPr>
          <w:rFonts w:ascii="方正大标宋_GBK" w:eastAsia="方正大标宋_GBK" w:hAnsi="方正大标宋_GBK" w:cs="方正大标宋_GBK"/>
          <w:bCs/>
          <w:color w:val="FF0000"/>
          <w:spacing w:val="60"/>
          <w:w w:val="70"/>
          <w:sz w:val="84"/>
          <w:szCs w:val="84"/>
        </w:rPr>
      </w:pPr>
      <w:r>
        <w:rPr>
          <w:rFonts w:ascii="方正大标宋_GBK" w:eastAsia="方正大标宋_GBK" w:hAnsi="方正大标宋_GBK" w:cs="方正大标宋_GBK" w:hint="eastAsia"/>
          <w:bCs/>
          <w:color w:val="FF0000"/>
          <w:spacing w:val="151"/>
          <w:w w:val="70"/>
          <w:sz w:val="84"/>
          <w:szCs w:val="84"/>
        </w:rPr>
        <w:t>贵州省科学技术</w:t>
      </w:r>
      <w:r>
        <w:rPr>
          <w:rFonts w:ascii="方正大标宋_GBK" w:eastAsia="方正大标宋_GBK" w:hAnsi="方正大标宋_GBK" w:cs="方正大标宋_GBK" w:hint="eastAsia"/>
          <w:bCs/>
          <w:color w:val="FF0000"/>
          <w:spacing w:val="60"/>
          <w:w w:val="70"/>
          <w:sz w:val="84"/>
          <w:szCs w:val="84"/>
        </w:rPr>
        <w:t>厅</w:t>
      </w:r>
    </w:p>
    <w:p w:rsidR="006061BF" w:rsidRDefault="00F13AF9">
      <w:pPr>
        <w:spacing w:line="1040" w:lineRule="exact"/>
        <w:jc w:val="left"/>
        <w:rPr>
          <w:rFonts w:ascii="方正大标宋_GBK" w:eastAsia="方正大标宋_GBK" w:hAnsi="方正大标宋_GBK" w:cs="方正大标宋_GBK"/>
          <w:bCs/>
          <w:color w:val="FF0000"/>
          <w:spacing w:val="18"/>
          <w:w w:val="70"/>
          <w:sz w:val="84"/>
          <w:szCs w:val="84"/>
        </w:rPr>
      </w:pPr>
      <w:r>
        <w:rPr>
          <w:rFonts w:ascii="方正大标宋_GBK" w:eastAsia="方正大标宋_GBK" w:hAnsi="方正大标宋_GBK" w:cs="方正大标宋_GBK" w:hint="eastAsia"/>
          <w:bCs/>
          <w:color w:val="FF0000"/>
          <w:spacing w:val="72"/>
          <w:w w:val="70"/>
          <w:sz w:val="84"/>
          <w:szCs w:val="84"/>
        </w:rPr>
        <w:t xml:space="preserve">贵   阳   海   </w:t>
      </w:r>
      <w:r>
        <w:rPr>
          <w:rFonts w:ascii="方正大标宋_GBK" w:eastAsia="方正大标宋_GBK" w:hAnsi="方正大标宋_GBK" w:cs="方正大标宋_GBK" w:hint="eastAsia"/>
          <w:bCs/>
          <w:color w:val="FF0000"/>
          <w:spacing w:val="18"/>
          <w:w w:val="70"/>
          <w:sz w:val="84"/>
          <w:szCs w:val="84"/>
        </w:rPr>
        <w:t>关</w:t>
      </w:r>
    </w:p>
    <w:p w:rsidR="006061BF" w:rsidRDefault="00F13AF9">
      <w:pPr>
        <w:tabs>
          <w:tab w:val="left" w:pos="6300"/>
        </w:tabs>
        <w:spacing w:line="1040" w:lineRule="exact"/>
        <w:jc w:val="left"/>
        <w:rPr>
          <w:rFonts w:ascii="方正小标宋简体" w:eastAsia="方正小标宋简体" w:hAnsi="宋体"/>
          <w:b/>
          <w:color w:val="FF0000"/>
          <w:w w:val="68"/>
          <w:sz w:val="70"/>
          <w:szCs w:val="70"/>
        </w:rPr>
      </w:pPr>
      <w:r>
        <w:rPr>
          <w:rFonts w:ascii="方正大标宋_GBK" w:eastAsia="方正大标宋_GBK" w:hAnsi="方正大标宋_GBK" w:cs="方正大标宋_GBK" w:hint="eastAsia"/>
          <w:bCs/>
          <w:color w:val="FF0000"/>
          <w:spacing w:val="-6"/>
          <w:w w:val="68"/>
          <w:sz w:val="84"/>
          <w:szCs w:val="84"/>
        </w:rPr>
        <w:t>国家税务总局贵州省税务</w:t>
      </w:r>
      <w:r>
        <w:rPr>
          <w:rFonts w:ascii="方正大标宋_GBK" w:eastAsia="方正大标宋_GBK" w:hAnsi="方正大标宋_GBK" w:cs="方正大标宋_GBK" w:hint="eastAsia"/>
          <w:bCs/>
          <w:color w:val="FF0000"/>
          <w:w w:val="68"/>
          <w:sz w:val="84"/>
          <w:szCs w:val="84"/>
        </w:rPr>
        <w:t>局</w:t>
      </w:r>
    </w:p>
    <w:p w:rsidR="006061BF" w:rsidRDefault="006061BF">
      <w:pPr>
        <w:spacing w:line="560" w:lineRule="exact"/>
        <w:rPr>
          <w:rFonts w:ascii="方正小标宋简体" w:eastAsia="方正小标宋简体" w:hint="eastAsia"/>
          <w:kern w:val="0"/>
          <w:sz w:val="44"/>
          <w:szCs w:val="44"/>
        </w:rPr>
      </w:pPr>
    </w:p>
    <w:p w:rsidR="006061BF" w:rsidRDefault="00F13AF9">
      <w:pPr>
        <w:adjustRightInd w:val="0"/>
        <w:snapToGrid w:val="0"/>
        <w:spacing w:line="520" w:lineRule="exact"/>
        <w:jc w:val="center"/>
        <w:rPr>
          <w:rFonts w:ascii="宋体" w:hAnsi="宋体" w:cs="宋体"/>
          <w:sz w:val="32"/>
          <w:szCs w:val="32"/>
        </w:rPr>
      </w:pPr>
      <w:r>
        <w:rPr>
          <w:rFonts w:ascii="仿宋_GB2312" w:eastAsia="仿宋_GB2312" w:hint="eastAsia"/>
          <w:sz w:val="32"/>
          <w:szCs w:val="32"/>
        </w:rPr>
        <w:t>黔工信科技〔2019〕7号</w:t>
      </w:r>
    </w:p>
    <w:p w:rsidR="006061BF" w:rsidRDefault="00BB301F">
      <w:pPr>
        <w:spacing w:line="560" w:lineRule="exact"/>
        <w:rPr>
          <w:rFonts w:ascii="方正小标宋简体" w:eastAsia="方正小标宋简体" w:hint="eastAsia"/>
          <w:kern w:val="0"/>
          <w:sz w:val="44"/>
          <w:szCs w:val="44"/>
        </w:rPr>
      </w:pPr>
      <w:r w:rsidRPr="00BB301F">
        <w:rPr>
          <w:rFonts w:hint="eastAsia"/>
          <w:sz w:val="44"/>
        </w:rPr>
        <w:pict>
          <v:line id="_x0000_s1031" style="position:absolute;left:0;text-align:left;z-index:251659264" from="-.7pt,10.25pt" to="441.5pt,10.25pt" o:gfxdata="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EZ5y7UAAAACAEAAA8AAAAAAAAAAQAgAAAAIgAAAGRycy9kb3du&#10;cmV2LnhtbFBLAQIUABQAAAAIAIdO4kCO2bE8ygEAAGQDAAAOAAAAAAAAAAEAIAAAACMBAABkcnMv&#10;ZTJvRG9jLnhtbFBLBQYAAAAABgAGAFkBAABfBQAAAAA=&#10;" strokecolor="red" strokeweight="1.5pt">
            <v:stroke joinstyle="miter"/>
          </v:line>
        </w:pict>
      </w:r>
    </w:p>
    <w:p w:rsidR="006061BF" w:rsidRDefault="00BB301F">
      <w:pPr>
        <w:spacing w:line="600" w:lineRule="exact"/>
        <w:rPr>
          <w:rFonts w:ascii="方正小标宋简体" w:eastAsia="方正小标宋简体" w:hint="eastAsia"/>
          <w:kern w:val="0"/>
          <w:sz w:val="44"/>
          <w:szCs w:val="44"/>
        </w:rPr>
      </w:pPr>
      <w:r w:rsidRPr="00BB301F">
        <w:rPr>
          <w:rFonts w:ascii="仿宋_GB2312" w:eastAsia="仿宋_GB2312" w:hint="eastAsia"/>
          <w:sz w:val="32"/>
          <w:szCs w:val="32"/>
        </w:rPr>
        <w:pict>
          <v:line id="_x0000_s1030" style="position:absolute;left:0;text-align:left;z-index:251660288" from="98.15pt,508.3pt" to="557.15pt,508.3pt" o:gfxdata="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&#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FndW1wAAAA4BAAAPAAAAAAAAAAEAIAAAACIAAABk&#10;cnMvZG93bnJldi54bWxQSwECFAAUAAAACACHTuJA1YWWkM4BAACsAwAADgAAAAAAAAABACAAAAAm&#10;AQAAZHJzL2Uyb0RvYy54bWxQSwUGAAAAAAYABgBZAQAAZgUAAAAA&#10;" strokecolor="black [3200]" strokeweight=".5pt">
            <v:stroke joinstyle="miter"/>
          </v:line>
        </w:pict>
      </w:r>
      <w:r w:rsidRPr="00BB301F">
        <w:rPr>
          <w:rFonts w:ascii="仿宋_GB2312" w:eastAsia="仿宋_GB2312" w:hint="eastAsia"/>
          <w:sz w:val="32"/>
          <w:szCs w:val="32"/>
        </w:rPr>
        <w:pict>
          <v:line id="Line 2" o:spid="_x0000_s1029" style="position:absolute;left:0;text-align:left;z-index:251658240" from="86.15pt,496.3pt" to="545.15pt,496.3pt" o:gfxdata="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T/RI2AAAAAwBAAAPAAAAAAAAAAEAIAAAACIAAABkcnMvZG93bnJldi54bWxQSwEC&#10;FAAUAAAACACHTuJAAAWqULsBAACAAwAADgAAAAAAAAABACAAAAAnAQAAZHJzL2Uyb0RvYy54bWxQ&#10;SwUGAAAAAAYABgBZAQAAVAUAAAAA&#10;" strokecolor="red" strokeweight="1.5pt"/>
        </w:pict>
      </w:r>
    </w:p>
    <w:p w:rsidR="006061BF" w:rsidRDefault="00F13AF9">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关于印发《贵州省企业技术中心认定</w:t>
      </w:r>
    </w:p>
    <w:p w:rsidR="006061BF" w:rsidRDefault="00F13AF9">
      <w:pPr>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管理办法》的通知</w:t>
      </w:r>
    </w:p>
    <w:p w:rsidR="006061BF" w:rsidRDefault="006061BF">
      <w:pPr>
        <w:spacing w:line="600" w:lineRule="exact"/>
        <w:rPr>
          <w:rFonts w:ascii="仿宋_GB2312" w:eastAsia="仿宋_GB2312" w:hint="eastAsia"/>
          <w:sz w:val="32"/>
          <w:szCs w:val="32"/>
        </w:rPr>
      </w:pPr>
    </w:p>
    <w:p w:rsidR="006061BF" w:rsidRDefault="00F13AF9">
      <w:pPr>
        <w:adjustRightInd w:val="0"/>
        <w:snapToGrid w:val="0"/>
        <w:spacing w:line="600" w:lineRule="exact"/>
        <w:rPr>
          <w:rFonts w:ascii="仿宋_GB2312" w:eastAsia="仿宋_GB2312" w:hint="eastAsia"/>
          <w:sz w:val="32"/>
          <w:szCs w:val="32"/>
        </w:rPr>
      </w:pPr>
      <w:r>
        <w:rPr>
          <w:rFonts w:ascii="仿宋_GB2312" w:eastAsia="仿宋_GB2312" w:hint="eastAsia"/>
          <w:sz w:val="32"/>
          <w:szCs w:val="32"/>
        </w:rPr>
        <w:t>各市（州）、贵安新区、仁怀市、威宁县工业和信息化主管部门、财政局、科技局、遵义海关、税务局，有关企业：</w:t>
      </w:r>
    </w:p>
    <w:p w:rsidR="006061BF" w:rsidRDefault="00F13AF9">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为强化企业技术创新主体地位，引导和支持企业增强技术创新能力，健全技术创新市场导向机制，适应新形势下企业创新工作需要，规范企业技术中心认定及管理，省工业和信息化厅、省</w:t>
      </w:r>
      <w:r>
        <w:rPr>
          <w:rFonts w:ascii="仿宋_GB2312" w:eastAsia="仿宋_GB2312" w:hint="eastAsia"/>
          <w:sz w:val="32"/>
          <w:szCs w:val="32"/>
        </w:rPr>
        <w:lastRenderedPageBreak/>
        <w:t>财政厅、省科技厅、贵阳海关、省税务局对原有的《贵州省企业技术中心认定管理办法》（黔经信技质〔2017〕4号）进行了修订，现将修订后的《贵州省企业技术中心认定管理办法》印发给你们，请认真贯彻实施。</w:t>
      </w:r>
      <w:r>
        <w:rPr>
          <w:rFonts w:ascii="仿宋_GB2312" w:eastAsia="仿宋_GB2312" w:hint="eastAsia"/>
          <w:bCs/>
          <w:sz w:val="32"/>
          <w:szCs w:val="32"/>
          <w:lang w:val="zh-CN"/>
        </w:rPr>
        <w:t>2017年发布的《关于印发〈贵州省企业技术中心认定管理办法〉的通知》（黔经信技质[2017]4号）</w:t>
      </w:r>
      <w:r>
        <w:rPr>
          <w:rFonts w:ascii="仿宋_GB2312" w:eastAsia="仿宋_GB2312" w:hint="eastAsia"/>
          <w:sz w:val="32"/>
          <w:szCs w:val="32"/>
        </w:rPr>
        <w:t>同时废止。</w:t>
      </w:r>
    </w:p>
    <w:p w:rsidR="006061BF" w:rsidRDefault="006061BF">
      <w:pPr>
        <w:spacing w:line="600" w:lineRule="exact"/>
        <w:rPr>
          <w:rFonts w:ascii="仿宋_GB2312" w:eastAsia="仿宋_GB2312" w:hint="eastAsia"/>
          <w:sz w:val="32"/>
          <w:szCs w:val="32"/>
        </w:rPr>
      </w:pPr>
    </w:p>
    <w:p w:rsidR="006061BF" w:rsidRDefault="006061BF">
      <w:pPr>
        <w:spacing w:line="600" w:lineRule="exact"/>
        <w:rPr>
          <w:rFonts w:ascii="仿宋_GB2312" w:eastAsia="仿宋_GB2312" w:hint="eastAsia"/>
          <w:sz w:val="32"/>
          <w:szCs w:val="32"/>
        </w:rPr>
      </w:pPr>
    </w:p>
    <w:p w:rsidR="006061BF" w:rsidRDefault="00F13AF9">
      <w:pPr>
        <w:rPr>
          <w:rFonts w:ascii="仿宋_GB2312" w:eastAsia="仿宋_GB2312" w:hint="eastAsia"/>
          <w:sz w:val="32"/>
          <w:szCs w:val="32"/>
        </w:rPr>
      </w:pPr>
      <w:r>
        <w:rPr>
          <w:rFonts w:ascii="仿宋_GB2312" w:eastAsia="仿宋_GB2312" w:hint="eastAsia"/>
          <w:sz w:val="32"/>
          <w:szCs w:val="32"/>
        </w:rPr>
        <w:t>贵州省工业和信息化厅               贵州省财政厅</w:t>
      </w:r>
    </w:p>
    <w:p w:rsidR="006061BF" w:rsidRDefault="006061BF">
      <w:pPr>
        <w:spacing w:line="600" w:lineRule="exact"/>
        <w:jc w:val="center"/>
        <w:rPr>
          <w:rFonts w:ascii="仿宋_GB2312" w:eastAsia="仿宋_GB2312" w:hint="eastAsia"/>
          <w:sz w:val="32"/>
          <w:szCs w:val="32"/>
        </w:rPr>
      </w:pPr>
    </w:p>
    <w:p w:rsidR="006061BF" w:rsidRDefault="006061BF">
      <w:pPr>
        <w:spacing w:line="600" w:lineRule="exact"/>
        <w:jc w:val="center"/>
        <w:rPr>
          <w:rFonts w:ascii="仿宋_GB2312" w:eastAsia="仿宋_GB2312" w:hint="eastAsia"/>
          <w:sz w:val="32"/>
          <w:szCs w:val="32"/>
        </w:rPr>
      </w:pPr>
    </w:p>
    <w:p w:rsidR="006061BF" w:rsidRDefault="007D47CC" w:rsidP="007D47CC">
      <w:pPr>
        <w:tabs>
          <w:tab w:val="left" w:pos="2133"/>
          <w:tab w:val="center" w:pos="4422"/>
        </w:tabs>
        <w:spacing w:line="600" w:lineRule="exact"/>
        <w:jc w:val="left"/>
        <w:rPr>
          <w:rFonts w:ascii="仿宋_GB2312" w:eastAsia="仿宋_GB2312" w:hint="eastAsia"/>
          <w:sz w:val="32"/>
          <w:szCs w:val="32"/>
        </w:rPr>
      </w:pPr>
      <w:r>
        <w:rPr>
          <w:rFonts w:ascii="仿宋_GB2312" w:eastAsia="仿宋_GB2312" w:hint="eastAsia"/>
          <w:sz w:val="32"/>
          <w:szCs w:val="32"/>
        </w:rPr>
        <w:tab/>
      </w:r>
      <w:r>
        <w:rPr>
          <w:rFonts w:ascii="仿宋_GB2312" w:eastAsia="仿宋_GB2312" w:hint="eastAsia"/>
          <w:sz w:val="32"/>
          <w:szCs w:val="32"/>
        </w:rPr>
        <w:tab/>
      </w:r>
    </w:p>
    <w:p w:rsidR="006061BF" w:rsidRDefault="006061BF">
      <w:pPr>
        <w:spacing w:line="600" w:lineRule="exact"/>
        <w:jc w:val="center"/>
        <w:rPr>
          <w:rFonts w:ascii="仿宋_GB2312" w:eastAsia="仿宋_GB2312" w:hint="eastAsia"/>
          <w:sz w:val="32"/>
          <w:szCs w:val="32"/>
        </w:rPr>
      </w:pPr>
    </w:p>
    <w:p w:rsidR="006061BF" w:rsidRDefault="00F13AF9">
      <w:pPr>
        <w:rPr>
          <w:rFonts w:ascii="仿宋_GB2312" w:eastAsia="仿宋_GB2312" w:hint="eastAsia"/>
          <w:sz w:val="32"/>
          <w:szCs w:val="32"/>
        </w:rPr>
      </w:pPr>
      <w:r>
        <w:rPr>
          <w:rFonts w:ascii="仿宋_GB2312" w:eastAsia="仿宋_GB2312" w:hint="eastAsia"/>
          <w:sz w:val="32"/>
          <w:szCs w:val="32"/>
        </w:rPr>
        <w:t xml:space="preserve">  </w:t>
      </w:r>
      <w:r w:rsidR="007D47CC">
        <w:rPr>
          <w:rFonts w:ascii="仿宋_GB2312" w:eastAsia="仿宋_GB2312" w:hint="eastAsia"/>
          <w:sz w:val="32"/>
          <w:szCs w:val="32"/>
        </w:rPr>
        <w:t>贵州省科学技术</w:t>
      </w:r>
      <w:r>
        <w:rPr>
          <w:rFonts w:ascii="仿宋_GB2312" w:eastAsia="仿宋_GB2312" w:hint="eastAsia"/>
          <w:sz w:val="32"/>
          <w:szCs w:val="32"/>
        </w:rPr>
        <w:t xml:space="preserve">             </w:t>
      </w:r>
      <w:r w:rsidR="007D47CC">
        <w:rPr>
          <w:rFonts w:ascii="仿宋_GB2312" w:eastAsia="仿宋_GB2312" w:hint="eastAsia"/>
          <w:sz w:val="32"/>
          <w:szCs w:val="32"/>
        </w:rPr>
        <w:t xml:space="preserve"> </w:t>
      </w:r>
      <w:r>
        <w:rPr>
          <w:rFonts w:ascii="仿宋_GB2312" w:eastAsia="仿宋_GB2312" w:hint="eastAsia"/>
          <w:sz w:val="32"/>
          <w:szCs w:val="32"/>
        </w:rPr>
        <w:t xml:space="preserve">    贵 阳 海 关</w:t>
      </w:r>
    </w:p>
    <w:p w:rsidR="006061BF" w:rsidRDefault="006061BF">
      <w:pPr>
        <w:spacing w:line="600" w:lineRule="exact"/>
        <w:jc w:val="center"/>
        <w:rPr>
          <w:rFonts w:ascii="仿宋_GB2312" w:eastAsia="仿宋_GB2312" w:hint="eastAsia"/>
          <w:sz w:val="32"/>
          <w:szCs w:val="32"/>
        </w:rPr>
      </w:pPr>
    </w:p>
    <w:p w:rsidR="006061BF" w:rsidRDefault="006061BF">
      <w:pPr>
        <w:spacing w:line="600" w:lineRule="exact"/>
        <w:jc w:val="center"/>
        <w:rPr>
          <w:rFonts w:ascii="仿宋_GB2312" w:eastAsia="仿宋_GB2312" w:hint="eastAsia"/>
          <w:sz w:val="32"/>
          <w:szCs w:val="32"/>
        </w:rPr>
      </w:pPr>
    </w:p>
    <w:p w:rsidR="006061BF" w:rsidRDefault="006061BF">
      <w:pPr>
        <w:spacing w:line="600" w:lineRule="exact"/>
        <w:jc w:val="center"/>
        <w:rPr>
          <w:rFonts w:ascii="仿宋_GB2312" w:eastAsia="仿宋_GB2312" w:hint="eastAsia"/>
          <w:sz w:val="32"/>
          <w:szCs w:val="32"/>
        </w:rPr>
      </w:pPr>
    </w:p>
    <w:p w:rsidR="006061BF" w:rsidRDefault="00F13AF9">
      <w:pPr>
        <w:jc w:val="center"/>
        <w:rPr>
          <w:rFonts w:ascii="仿宋_GB2312" w:eastAsia="仿宋_GB2312" w:hint="eastAsia"/>
          <w:sz w:val="32"/>
          <w:szCs w:val="32"/>
        </w:rPr>
      </w:pPr>
      <w:r>
        <w:rPr>
          <w:rFonts w:ascii="仿宋_GB2312" w:eastAsia="仿宋_GB2312" w:hint="eastAsia"/>
          <w:sz w:val="32"/>
          <w:szCs w:val="32"/>
        </w:rPr>
        <w:t xml:space="preserve">                         国家税务总局贵州省税务局</w:t>
      </w:r>
    </w:p>
    <w:p w:rsidR="006061BF" w:rsidRDefault="00F13AF9">
      <w:pPr>
        <w:spacing w:line="600" w:lineRule="exact"/>
        <w:jc w:val="center"/>
        <w:rPr>
          <w:rFonts w:ascii="仿宋_GB2312" w:eastAsia="仿宋_GB2312" w:hint="eastAsia"/>
          <w:sz w:val="32"/>
          <w:szCs w:val="32"/>
        </w:rPr>
      </w:pPr>
      <w:r>
        <w:rPr>
          <w:rFonts w:ascii="仿宋_GB2312" w:eastAsia="仿宋_GB2312" w:hint="eastAsia"/>
          <w:sz w:val="32"/>
          <w:szCs w:val="32"/>
        </w:rPr>
        <w:t xml:space="preserve">                          2019年5月24日</w:t>
      </w:r>
    </w:p>
    <w:p w:rsidR="006061BF" w:rsidRPr="00F13AF9" w:rsidRDefault="00F13AF9" w:rsidP="00F13AF9">
      <w:pPr>
        <w:spacing w:line="680" w:lineRule="atLeast"/>
        <w:ind w:firstLineChars="200" w:firstLine="640"/>
        <w:rPr>
          <w:rFonts w:ascii="仿宋_GB2312" w:eastAsia="仿宋_GB2312" w:hint="eastAsia"/>
          <w:sz w:val="32"/>
          <w:szCs w:val="32"/>
        </w:rPr>
      </w:pPr>
      <w:r w:rsidRPr="00F13AF9">
        <w:rPr>
          <w:rFonts w:ascii="仿宋_GB2312" w:eastAsia="仿宋_GB2312" w:hint="eastAsia"/>
          <w:sz w:val="32"/>
          <w:szCs w:val="32"/>
        </w:rPr>
        <w:t>（此件公开发布）</w:t>
      </w:r>
    </w:p>
    <w:p w:rsidR="006061BF" w:rsidRPr="00F13AF9" w:rsidRDefault="00BB301F" w:rsidP="00F13AF9">
      <w:pPr>
        <w:rPr>
          <w:rFonts w:ascii="仿宋_GB2312" w:eastAsia="仿宋_GB2312" w:hint="eastAsia"/>
          <w:sz w:val="32"/>
          <w:szCs w:val="32"/>
        </w:rPr>
      </w:pPr>
      <w:r>
        <w:rPr>
          <w:rFonts w:ascii="仿宋_GB2312" w:eastAsia="仿宋_GB2312" w:hint="eastAsia"/>
          <w:sz w:val="32"/>
          <w:szCs w:val="32"/>
        </w:rPr>
        <w:pict>
          <v:line id="_x0000_s1028" style="position:absolute;left:0;text-align:left;z-index:251662336" from="0,29.2pt" to="442.2pt,29.2pt" o:gfxdata="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2kGm1gAAAAYBAAAPAAAAAAAAAAEAIAAAACIAAABkcnMvZG93bnJl&#10;di54bWxQSwECFAAUAAAACACHTuJAxyKzx8YBAABkAwAADgAAAAAAAAABACAAAAAlAQAAZHJzL2Uy&#10;b0RvYy54bWxQSwUGAAAAAAYABgBZAQAAXQUAAAAA&#10;" strokecolor="black [3213]" strokeweight="1pt">
            <v:stroke joinstyle="miter"/>
          </v:line>
        </w:pict>
      </w:r>
    </w:p>
    <w:p w:rsidR="006061BF" w:rsidRDefault="00BB301F" w:rsidP="00F13AF9">
      <w:pPr>
        <w:ind w:firstLineChars="50" w:firstLine="161"/>
        <w:rPr>
          <w:rFonts w:ascii="仿宋_GB2312" w:eastAsia="仿宋_GB2312" w:hint="eastAsia"/>
          <w:sz w:val="32"/>
          <w:szCs w:val="32"/>
        </w:rPr>
      </w:pPr>
      <w:r w:rsidRPr="00BB301F">
        <w:rPr>
          <w:rFonts w:ascii="仿宋_GB2312" w:eastAsia="仿宋_GB2312" w:hAnsi="宋体" w:hint="eastAsia"/>
          <w:b/>
          <w:color w:val="FF0000"/>
          <w:sz w:val="32"/>
          <w:szCs w:val="32"/>
        </w:rPr>
        <w:pict>
          <v:line id="_x0000_s1027" style="position:absolute;left:0;text-align:left;z-index:251661312" from="0,35.7pt" to="442.2pt,35.7pt" o:gfxdata="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4cQ8m1gAAAAYBAAAPAAAAAAAAAAEAIAAAACIAAABkcnMvZG93bnJl&#10;di54bWxQSwECFAAUAAAACACHTuJA0a/GzMYBAABkAwAADgAAAAAAAAABACAAAAAlAQAAZHJzL2Uy&#10;b0RvYy54bWxQSwUGAAAAAAYABgBZAQAAXQUAAAAA&#10;" strokecolor="black [3213]" strokeweight="1pt">
            <v:stroke joinstyle="miter"/>
          </v:line>
        </w:pict>
      </w:r>
      <w:r w:rsidR="00F13AF9">
        <w:rPr>
          <w:rFonts w:ascii="仿宋_GB2312" w:eastAsia="仿宋_GB2312" w:hAnsi="仿宋_GB2312" w:hint="eastAsia"/>
          <w:spacing w:val="-8"/>
          <w:sz w:val="28"/>
          <w:szCs w:val="28"/>
        </w:rPr>
        <w:t>贵州省工业和信息化厅办公室</w:t>
      </w:r>
      <w:r w:rsidR="00F13AF9">
        <w:rPr>
          <w:rFonts w:ascii="仿宋_GB2312" w:eastAsia="仿宋_GB2312" w:hAnsi="仿宋_GB2312" w:hint="eastAsia"/>
          <w:sz w:val="28"/>
          <w:szCs w:val="28"/>
        </w:rPr>
        <w:t xml:space="preserve">                 </w:t>
      </w:r>
      <w:r w:rsidR="00F13AF9">
        <w:rPr>
          <w:rFonts w:ascii="仿宋_GB2312" w:eastAsia="仿宋_GB2312" w:hAnsi="仿宋_GB2312" w:hint="eastAsia"/>
          <w:spacing w:val="-8"/>
          <w:sz w:val="28"/>
          <w:szCs w:val="28"/>
        </w:rPr>
        <w:t>2019年</w:t>
      </w:r>
      <w:r w:rsidR="00F13AF9">
        <w:rPr>
          <w:rFonts w:ascii="仿宋_GB2312" w:eastAsia="仿宋_GB2312" w:hAnsi="仿宋_GB2312" w:hint="eastAsia"/>
          <w:sz w:val="28"/>
          <w:szCs w:val="28"/>
        </w:rPr>
        <w:t>5</w:t>
      </w:r>
      <w:r w:rsidR="00F13AF9">
        <w:rPr>
          <w:rFonts w:ascii="仿宋_GB2312" w:eastAsia="仿宋_GB2312" w:hAnsi="仿宋_GB2312" w:hint="eastAsia"/>
          <w:spacing w:val="-8"/>
          <w:sz w:val="28"/>
          <w:szCs w:val="28"/>
        </w:rPr>
        <w:t>月</w:t>
      </w:r>
      <w:r w:rsidR="00F13AF9">
        <w:rPr>
          <w:rFonts w:ascii="仿宋_GB2312" w:eastAsia="仿宋_GB2312" w:hAnsi="仿宋_GB2312" w:hint="eastAsia"/>
          <w:sz w:val="28"/>
          <w:szCs w:val="28"/>
        </w:rPr>
        <w:t>31日</w:t>
      </w:r>
      <w:r w:rsidR="00F13AF9">
        <w:rPr>
          <w:rFonts w:ascii="仿宋_GB2312" w:eastAsia="仿宋_GB2312" w:hAnsi="仿宋_GB2312" w:hint="eastAsia"/>
          <w:spacing w:val="-8"/>
          <w:sz w:val="28"/>
          <w:szCs w:val="28"/>
        </w:rPr>
        <w:t>印发</w:t>
      </w:r>
    </w:p>
    <w:p w:rsidR="006061BF" w:rsidRDefault="00F13AF9">
      <w:pPr>
        <w:widowControl/>
        <w:jc w:val="left"/>
        <w:rPr>
          <w:rFonts w:ascii="宋体" w:hAnsi="宋体"/>
          <w:b/>
          <w:sz w:val="44"/>
          <w:szCs w:val="44"/>
        </w:rPr>
      </w:pPr>
      <w:r>
        <w:rPr>
          <w:rFonts w:ascii="宋体" w:hAnsi="宋体"/>
          <w:b/>
          <w:sz w:val="44"/>
          <w:szCs w:val="44"/>
        </w:rPr>
        <w:lastRenderedPageBreak/>
        <w:br w:type="page"/>
      </w:r>
    </w:p>
    <w:p w:rsidR="006061BF" w:rsidRDefault="006061BF">
      <w:pPr>
        <w:adjustRightInd w:val="0"/>
        <w:snapToGrid w:val="0"/>
        <w:spacing w:line="560" w:lineRule="exact"/>
        <w:rPr>
          <w:rFonts w:ascii="宋体" w:hAnsi="宋体"/>
          <w:b/>
          <w:sz w:val="44"/>
          <w:szCs w:val="44"/>
        </w:rPr>
      </w:pPr>
    </w:p>
    <w:p w:rsidR="006061BF" w:rsidRDefault="00F13AF9">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贵州省企业技术中心认定管理办法</w:t>
      </w:r>
    </w:p>
    <w:p w:rsidR="006061BF" w:rsidRDefault="006061BF">
      <w:pPr>
        <w:adjustRightInd w:val="0"/>
        <w:snapToGrid w:val="0"/>
        <w:spacing w:line="560" w:lineRule="exact"/>
        <w:jc w:val="center"/>
        <w:rPr>
          <w:rFonts w:ascii="黑体" w:eastAsia="黑体" w:hAnsi="宋体"/>
          <w:color w:val="000000"/>
          <w:sz w:val="32"/>
          <w:szCs w:val="32"/>
        </w:rPr>
      </w:pPr>
    </w:p>
    <w:p w:rsidR="006061BF" w:rsidRDefault="00F13AF9">
      <w:pPr>
        <w:pStyle w:val="1"/>
        <w:numPr>
          <w:ilvl w:val="0"/>
          <w:numId w:val="1"/>
        </w:numPr>
        <w:adjustRightInd w:val="0"/>
        <w:snapToGrid w:val="0"/>
        <w:spacing w:line="560" w:lineRule="exact"/>
        <w:ind w:firstLineChars="0"/>
        <w:jc w:val="center"/>
        <w:rPr>
          <w:rFonts w:ascii="黑体" w:eastAsia="黑体" w:hAnsi="宋体"/>
          <w:color w:val="000000"/>
          <w:sz w:val="32"/>
          <w:szCs w:val="32"/>
        </w:rPr>
      </w:pPr>
      <w:r>
        <w:rPr>
          <w:rFonts w:ascii="黑体" w:eastAsia="黑体" w:hAnsi="宋体" w:hint="eastAsia"/>
          <w:color w:val="000000"/>
          <w:sz w:val="32"/>
          <w:szCs w:val="32"/>
        </w:rPr>
        <w:t xml:space="preserve"> 总  则</w:t>
      </w:r>
    </w:p>
    <w:p w:rsidR="006061BF" w:rsidRDefault="006061BF">
      <w:pPr>
        <w:pStyle w:val="1"/>
        <w:adjustRightInd w:val="0"/>
        <w:snapToGrid w:val="0"/>
        <w:spacing w:line="560" w:lineRule="exact"/>
        <w:ind w:left="1155" w:firstLineChars="0" w:firstLine="0"/>
        <w:rPr>
          <w:rFonts w:ascii="黑体" w:eastAsia="黑体" w:hAnsi="宋体"/>
          <w:color w:val="000000"/>
          <w:sz w:val="32"/>
          <w:szCs w:val="32"/>
        </w:rPr>
      </w:pPr>
    </w:p>
    <w:p w:rsidR="006061BF" w:rsidRDefault="00F13AF9" w:rsidP="00F13AF9">
      <w:pPr>
        <w:adjustRightInd w:val="0"/>
        <w:snapToGrid w:val="0"/>
        <w:spacing w:line="560" w:lineRule="exact"/>
        <w:ind w:firstLineChars="200" w:firstLine="640"/>
        <w:rPr>
          <w:rFonts w:ascii="仿宋_GB2312" w:eastAsia="仿宋_GB2312" w:hint="eastAsia"/>
          <w:sz w:val="32"/>
          <w:szCs w:val="32"/>
        </w:rPr>
      </w:pPr>
      <w:r>
        <w:rPr>
          <w:rFonts w:ascii="黑体" w:eastAsia="黑体" w:hAnsi="黑体" w:cs="黑体" w:hint="eastAsia"/>
          <w:bCs/>
          <w:color w:val="000000"/>
          <w:sz w:val="32"/>
          <w:szCs w:val="32"/>
        </w:rPr>
        <w:t>第一条</w:t>
      </w:r>
      <w:r>
        <w:rPr>
          <w:rFonts w:ascii="宋体" w:hAnsi="宋体" w:hint="eastAsia"/>
          <w:b/>
          <w:color w:val="000000"/>
          <w:sz w:val="32"/>
          <w:szCs w:val="32"/>
        </w:rPr>
        <w:t xml:space="preserve"> </w:t>
      </w:r>
      <w:r>
        <w:rPr>
          <w:rFonts w:ascii="宋体" w:hAnsi="宋体" w:hint="eastAsia"/>
          <w:color w:val="000000"/>
          <w:sz w:val="32"/>
          <w:szCs w:val="32"/>
        </w:rPr>
        <w:t xml:space="preserve"> </w:t>
      </w:r>
      <w:r>
        <w:rPr>
          <w:rFonts w:ascii="仿宋_GB2312" w:eastAsia="仿宋_GB2312" w:hint="eastAsia"/>
          <w:sz w:val="32"/>
          <w:szCs w:val="32"/>
          <w:lang w:val="zh-CN"/>
        </w:rPr>
        <w:t>为深入实施创新驱动发展战略，贯彻落实《中共中央国务院关于深化科技体制改革加快国家创新体系建设的意见》，进一步强化企业技术创新主体地位，引导和支持企业增强技术创新能力，健全技术创新市场导向机制，规范贵州省企业技术中心（以下简称省企业技术中心）认定和管理，依据《中华人民共和国科学技术进步法》，参照《国家企业技术中心认定管理办法》，特制定本办法。</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 xml:space="preserve">第二条 </w:t>
      </w:r>
      <w:r>
        <w:rPr>
          <w:rFonts w:ascii="宋体" w:hAnsi="宋体" w:hint="eastAsia"/>
          <w:color w:val="000000"/>
          <w:sz w:val="32"/>
          <w:szCs w:val="32"/>
        </w:rPr>
        <w:t xml:space="preserve"> </w:t>
      </w:r>
      <w:r>
        <w:rPr>
          <w:rFonts w:ascii="仿宋_GB2312" w:eastAsia="仿宋_GB2312" w:hint="eastAsia"/>
          <w:sz w:val="32"/>
          <w:szCs w:val="32"/>
          <w:lang w:val="zh-CN"/>
        </w:rPr>
        <w:t>本办法所称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rsidR="006061BF" w:rsidRDefault="00F13AF9" w:rsidP="00F13AF9">
      <w:pPr>
        <w:adjustRightInd w:val="0"/>
        <w:snapToGrid w:val="0"/>
        <w:spacing w:line="560" w:lineRule="exact"/>
        <w:ind w:firstLineChars="200" w:firstLine="640"/>
        <w:rPr>
          <w:rFonts w:ascii="宋体" w:hAnsi="宋体"/>
          <w:color w:val="000000"/>
          <w:sz w:val="32"/>
          <w:szCs w:val="32"/>
        </w:rPr>
      </w:pPr>
      <w:r>
        <w:rPr>
          <w:rFonts w:ascii="黑体" w:eastAsia="黑体" w:hAnsi="黑体" w:cs="黑体" w:hint="eastAsia"/>
          <w:bCs/>
          <w:color w:val="000000"/>
          <w:sz w:val="32"/>
          <w:szCs w:val="32"/>
        </w:rPr>
        <w:t>第三条</w:t>
      </w:r>
      <w:r>
        <w:rPr>
          <w:rFonts w:ascii="宋体" w:hAnsi="宋体" w:hint="eastAsia"/>
          <w:color w:val="000000"/>
          <w:sz w:val="32"/>
          <w:szCs w:val="32"/>
        </w:rPr>
        <w:t xml:space="preserve">  </w:t>
      </w:r>
      <w:r>
        <w:rPr>
          <w:rFonts w:ascii="仿宋_GB2312" w:eastAsia="仿宋_GB2312" w:hAnsi="宋体" w:cs="宋体" w:hint="eastAsia"/>
          <w:sz w:val="32"/>
          <w:szCs w:val="32"/>
          <w:lang w:val="zh-CN"/>
        </w:rPr>
        <w:t>贵州省鼓励和支持企业建立技术中心，发挥企业在技术创新中的主体作用，建立健全企业主导产业技术研发创新的体制机制。根据创新驱动发展要求和经济结构调整需要，对创新能力强、创新机制好、引领示范作用大、符合条件的企业技术中心予以认定，并给予政策支持，鼓励引导行业骨干企业带动产业技术进步和创新能力提高。</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第四条</w:t>
      </w:r>
      <w:r>
        <w:rPr>
          <w:rFonts w:ascii="宋体" w:hAnsi="宋体" w:hint="eastAsia"/>
          <w:color w:val="000000"/>
          <w:sz w:val="32"/>
          <w:szCs w:val="32"/>
        </w:rPr>
        <w:t xml:space="preserve"> </w:t>
      </w:r>
      <w:r>
        <w:rPr>
          <w:rFonts w:ascii="宋体" w:hAnsi="宋体"/>
          <w:color w:val="000000"/>
          <w:sz w:val="32"/>
          <w:szCs w:val="32"/>
        </w:rPr>
        <w:t xml:space="preserve"> </w:t>
      </w:r>
      <w:r>
        <w:rPr>
          <w:rFonts w:ascii="仿宋_GB2312" w:eastAsia="仿宋_GB2312" w:hAnsi="宋体" w:hint="eastAsia"/>
          <w:color w:val="000000"/>
          <w:sz w:val="32"/>
          <w:szCs w:val="32"/>
        </w:rPr>
        <w:t>省工业和信息化厅、省财政厅、省科技厅、贵阳海关、省税务局负责指导协调省企业技术中心相关工作。省工业和</w:t>
      </w:r>
      <w:r>
        <w:rPr>
          <w:rFonts w:ascii="仿宋_GB2312" w:eastAsia="仿宋_GB2312" w:hAnsi="宋体" w:hint="eastAsia"/>
          <w:color w:val="000000"/>
          <w:sz w:val="32"/>
          <w:szCs w:val="32"/>
        </w:rPr>
        <w:lastRenderedPageBreak/>
        <w:t>信息化厅牵头开展省企业技术中心的认定与运行评价。各市（州）、贵安新区、省直管县工业和信息化主管部门负责省企业技术中心的组织申报、日常管理等工作。</w:t>
      </w:r>
    </w:p>
    <w:p w:rsidR="006061BF" w:rsidRDefault="006061BF">
      <w:pPr>
        <w:adjustRightInd w:val="0"/>
        <w:snapToGrid w:val="0"/>
        <w:spacing w:line="560" w:lineRule="exact"/>
        <w:jc w:val="center"/>
        <w:rPr>
          <w:rFonts w:ascii="黑体" w:eastAsia="黑体" w:hAnsi="宋体"/>
          <w:color w:val="000000"/>
          <w:sz w:val="32"/>
          <w:szCs w:val="32"/>
        </w:rPr>
      </w:pPr>
    </w:p>
    <w:p w:rsidR="006061BF" w:rsidRDefault="00F13AF9">
      <w:pPr>
        <w:adjustRightInd w:val="0"/>
        <w:snapToGrid w:val="0"/>
        <w:spacing w:line="560" w:lineRule="exact"/>
        <w:jc w:val="center"/>
        <w:rPr>
          <w:rFonts w:ascii="黑体" w:eastAsia="黑体" w:hAnsi="宋体"/>
          <w:color w:val="000000"/>
          <w:sz w:val="32"/>
          <w:szCs w:val="32"/>
        </w:rPr>
      </w:pPr>
      <w:r>
        <w:rPr>
          <w:rFonts w:ascii="黑体" w:eastAsia="黑体" w:hAnsi="宋体" w:hint="eastAsia"/>
          <w:color w:val="000000"/>
          <w:sz w:val="32"/>
          <w:szCs w:val="32"/>
        </w:rPr>
        <w:t>第二章  认 定</w:t>
      </w:r>
    </w:p>
    <w:p w:rsidR="006061BF" w:rsidRDefault="006061BF" w:rsidP="00F13AF9">
      <w:pPr>
        <w:autoSpaceDE w:val="0"/>
        <w:autoSpaceDN w:val="0"/>
        <w:adjustRightInd w:val="0"/>
        <w:snapToGrid w:val="0"/>
        <w:spacing w:line="560" w:lineRule="exact"/>
        <w:ind w:firstLineChars="200" w:firstLine="643"/>
        <w:rPr>
          <w:rFonts w:ascii="宋体" w:hAnsi="宋体"/>
          <w:b/>
          <w:color w:val="000000"/>
          <w:sz w:val="32"/>
          <w:szCs w:val="32"/>
        </w:rPr>
      </w:pP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b/>
          <w:color w:val="000000"/>
          <w:sz w:val="32"/>
          <w:szCs w:val="32"/>
        </w:rPr>
      </w:pPr>
      <w:r>
        <w:rPr>
          <w:rFonts w:ascii="黑体" w:eastAsia="黑体" w:hAnsi="黑体" w:cs="黑体" w:hint="eastAsia"/>
          <w:bCs/>
          <w:color w:val="000000"/>
          <w:sz w:val="32"/>
          <w:szCs w:val="32"/>
        </w:rPr>
        <w:t>第五条</w:t>
      </w:r>
      <w:r>
        <w:rPr>
          <w:rFonts w:ascii="仿宋_GB2312" w:eastAsia="仿宋_GB2312" w:hAnsi="宋体" w:hint="eastAsia"/>
          <w:color w:val="000000"/>
          <w:sz w:val="32"/>
          <w:szCs w:val="32"/>
        </w:rPr>
        <w:t xml:space="preserve">  省企业技术中心的认定,原则上每年进行一次。</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黑体" w:eastAsia="黑体" w:hAnsi="黑体" w:cs="黑体" w:hint="eastAsia"/>
          <w:bCs/>
          <w:color w:val="000000"/>
          <w:sz w:val="32"/>
          <w:szCs w:val="32"/>
        </w:rPr>
        <w:t>第六条</w:t>
      </w:r>
      <w:r>
        <w:rPr>
          <w:rFonts w:ascii="宋体" w:hAnsi="宋体" w:hint="eastAsia"/>
          <w:b/>
          <w:color w:val="000000"/>
          <w:sz w:val="32"/>
          <w:szCs w:val="32"/>
        </w:rPr>
        <w:t xml:space="preserve"> </w:t>
      </w:r>
      <w:r>
        <w:rPr>
          <w:rFonts w:ascii="仿宋_GB2312" w:eastAsia="仿宋_GB2312" w:hAnsi="宋体" w:hint="eastAsia"/>
          <w:color w:val="000000"/>
          <w:sz w:val="32"/>
          <w:szCs w:val="32"/>
        </w:rPr>
        <w:t xml:space="preserve"> </w:t>
      </w:r>
      <w:r>
        <w:rPr>
          <w:rFonts w:ascii="仿宋_GB2312" w:eastAsia="仿宋_GB2312" w:hAnsi="宋体" w:cs="宋体" w:hint="eastAsia"/>
          <w:sz w:val="32"/>
          <w:szCs w:val="32"/>
          <w:lang w:val="zh-CN"/>
        </w:rPr>
        <w:t>省企业技术中心应当同时具备以下基本条件：</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（一）具有独立法人资格；</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（二）企业在行业中具有显著的发展优势和竞争优势，具有较强的技术创新能力和较高的水平；</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（三）企业具有较好的技术创新机制，企业技术中心组织体系健全，创新效率和效益显著；</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（四）企业年度研究与试验发展经费支出额、研究与试验发展人员数、技术开发仪器设备原值三项指标不低于最低标准；</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（五）企业内部已建立企业技术中心并正常运行1年以上；</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（六）企业2年内（指省企业技术中心当年申报截止日向前推算2年）未发生下列情况：</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1、因违反海关法及有关法律、行政法规，构成走私行为，受到刑事、行政处罚，或因严重违反海关监管规定受到行政处罚；</w:t>
      </w:r>
    </w:p>
    <w:p w:rsidR="006061BF" w:rsidRDefault="00F13AF9" w:rsidP="00F13AF9">
      <w:pPr>
        <w:autoSpaceDE w:val="0"/>
        <w:autoSpaceDN w:val="0"/>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2、因违反税收征管法及有关法律、行政法规，构成偷税、骗取出口退税等严重税收违法行为；</w:t>
      </w:r>
    </w:p>
    <w:p w:rsidR="006061BF" w:rsidRDefault="00F13AF9" w:rsidP="00F13AF9">
      <w:pPr>
        <w:autoSpaceDE w:val="0"/>
        <w:autoSpaceDN w:val="0"/>
        <w:adjustRightInd w:val="0"/>
        <w:snapToGrid w:val="0"/>
        <w:spacing w:line="560" w:lineRule="exact"/>
        <w:ind w:firstLineChars="200" w:firstLine="640"/>
        <w:rPr>
          <w:rFonts w:ascii="宋体" w:hAnsi="宋体" w:cs="宋体"/>
          <w:sz w:val="32"/>
          <w:szCs w:val="32"/>
          <w:lang w:val="zh-CN"/>
        </w:rPr>
      </w:pPr>
      <w:r>
        <w:rPr>
          <w:rFonts w:ascii="仿宋_GB2312" w:eastAsia="仿宋_GB2312" w:hAnsi="宋体" w:cs="宋体" w:hint="eastAsia"/>
          <w:sz w:val="32"/>
          <w:szCs w:val="32"/>
          <w:lang w:val="zh-CN"/>
        </w:rPr>
        <w:t>3、司法、行政机关认定的其他严重违法失信行为。</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黑体" w:eastAsia="黑体" w:hAnsi="黑体" w:cs="黑体" w:hint="eastAsia"/>
          <w:bCs/>
          <w:color w:val="000000"/>
          <w:sz w:val="32"/>
          <w:szCs w:val="32"/>
          <w:lang w:val="zh-CN"/>
        </w:rPr>
        <w:t>第七条</w:t>
      </w:r>
      <w:r>
        <w:rPr>
          <w:rFonts w:ascii="宋体" w:hAnsi="宋体" w:cs="宋体" w:hint="eastAsia"/>
          <w:sz w:val="32"/>
          <w:szCs w:val="32"/>
          <w:lang w:val="zh-CN"/>
        </w:rPr>
        <w:t xml:space="preserve">  </w:t>
      </w:r>
      <w:r>
        <w:rPr>
          <w:rFonts w:ascii="仿宋_GB2312" w:eastAsia="仿宋_GB2312" w:hAnsi="宋体" w:cs="宋体" w:hint="eastAsia"/>
          <w:sz w:val="32"/>
          <w:szCs w:val="32"/>
          <w:lang w:val="zh-CN"/>
        </w:rPr>
        <w:t>除所从事业务领域不同、技术创新资源不共享之外，</w:t>
      </w:r>
      <w:r>
        <w:rPr>
          <w:rFonts w:ascii="仿宋_GB2312" w:eastAsia="仿宋_GB2312" w:hAnsi="宋体" w:cs="宋体" w:hint="eastAsia"/>
          <w:sz w:val="32"/>
          <w:szCs w:val="32"/>
          <w:lang w:val="zh-CN"/>
        </w:rPr>
        <w:lastRenderedPageBreak/>
        <w:t>母公司或子公司已是省企业技术中心的，原则上其子公司或母公司不再认定为省企业技术中心；省企业技术中心不设分中心。</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黑体" w:eastAsia="黑体" w:hAnsi="黑体" w:cs="黑体" w:hint="eastAsia"/>
          <w:bCs/>
          <w:color w:val="000000"/>
          <w:sz w:val="32"/>
          <w:szCs w:val="32"/>
        </w:rPr>
        <w:t>第八条</w:t>
      </w:r>
      <w:r>
        <w:rPr>
          <w:rFonts w:ascii="宋体" w:hAnsi="宋体" w:hint="eastAsia"/>
          <w:b/>
          <w:color w:val="000000"/>
          <w:sz w:val="32"/>
          <w:szCs w:val="32"/>
        </w:rPr>
        <w:t xml:space="preserve">  </w:t>
      </w:r>
      <w:r>
        <w:rPr>
          <w:rFonts w:ascii="仿宋_GB2312" w:eastAsia="仿宋_GB2312" w:hAnsi="宋体" w:cs="宋体" w:hint="eastAsia"/>
          <w:sz w:val="32"/>
          <w:szCs w:val="32"/>
          <w:lang w:val="zh-CN"/>
        </w:rPr>
        <w:t>认定程序：</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（一）企业按当年申报要求通过网上注册后进行申报，由各市（州）</w:t>
      </w:r>
      <w:r>
        <w:rPr>
          <w:rFonts w:ascii="仿宋_GB2312" w:eastAsia="仿宋_GB2312" w:hAnsi="宋体" w:hint="eastAsia"/>
          <w:color w:val="000000"/>
          <w:sz w:val="32"/>
          <w:szCs w:val="32"/>
        </w:rPr>
        <w:t>、贵安新区、省直管县</w:t>
      </w:r>
      <w:r>
        <w:rPr>
          <w:rFonts w:ascii="仿宋_GB2312" w:eastAsia="仿宋_GB2312" w:hAnsi="宋体" w:cs="宋体" w:hint="eastAsia"/>
          <w:sz w:val="32"/>
          <w:szCs w:val="32"/>
          <w:lang w:val="zh-CN"/>
        </w:rPr>
        <w:t>工业和信息化主管部门对企业上报的申请材料和企业有关情况进行核实审查并填写推荐意见后提交省工业和信息化厅。省属企业和中央在黔企业直接向省工业和信息化厅申报。</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申请材料包括：</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1、贵州省企业技术中心申请报告</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2、贵州省企业技术中心评价材料</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（二）省工业和信息化厅委托第三方机构开展初评，根据初评结果，省工业和信息化厅会同省财政厅、省科技厅、贵阳海关、省税务局，组织专家组对企业进行现场考察，形成专家评审意见。</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（三）省工业和信息化厅会同省财政厅、省科技厅、贵阳海关、省税务局，根据产业政策、专家评审意见等进行综合评估后，确认省企业技术中心认定名单。</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（四）省工业和信息化厅将确认的省企业技术中心名单在省工业和信息化厅网站上进行公示，公示期为15天。</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五）省工业和信息化厅会同省财政厅、省科技厅、贵阳海关、省税务局自申报截止日起80个工作日内，联合发文向各市（州）、贵安新区、省直管县工业和信息化主管部门及同级管理部门通报认定结果，并在省工业和信息化厅网站公开。</w:t>
      </w:r>
    </w:p>
    <w:p w:rsidR="006061BF" w:rsidRDefault="006061BF" w:rsidP="00F13AF9">
      <w:pPr>
        <w:adjustRightInd w:val="0"/>
        <w:snapToGrid w:val="0"/>
        <w:spacing w:line="560" w:lineRule="exact"/>
        <w:ind w:firstLineChars="200" w:firstLine="640"/>
        <w:rPr>
          <w:rFonts w:ascii="宋体" w:hAnsi="宋体"/>
          <w:color w:val="000000"/>
          <w:sz w:val="32"/>
          <w:szCs w:val="32"/>
        </w:rPr>
      </w:pPr>
    </w:p>
    <w:p w:rsidR="006061BF" w:rsidRDefault="00F13AF9">
      <w:pPr>
        <w:adjustRightInd w:val="0"/>
        <w:snapToGrid w:val="0"/>
        <w:spacing w:line="560" w:lineRule="exact"/>
        <w:jc w:val="center"/>
        <w:rPr>
          <w:rFonts w:ascii="黑体" w:eastAsia="黑体" w:hAnsi="宋体"/>
          <w:color w:val="000000"/>
          <w:sz w:val="32"/>
          <w:szCs w:val="32"/>
        </w:rPr>
      </w:pPr>
      <w:r>
        <w:rPr>
          <w:rFonts w:ascii="黑体" w:eastAsia="黑体" w:hAnsi="宋体" w:hint="eastAsia"/>
          <w:color w:val="000000"/>
          <w:sz w:val="32"/>
          <w:szCs w:val="32"/>
        </w:rPr>
        <w:lastRenderedPageBreak/>
        <w:t>第三章  运行评价</w:t>
      </w:r>
    </w:p>
    <w:p w:rsidR="006061BF" w:rsidRDefault="006061BF" w:rsidP="00F13AF9">
      <w:pPr>
        <w:adjustRightInd w:val="0"/>
        <w:snapToGrid w:val="0"/>
        <w:spacing w:line="560" w:lineRule="exact"/>
        <w:ind w:firstLineChars="200" w:firstLine="643"/>
        <w:rPr>
          <w:rFonts w:ascii="宋体" w:hAnsi="宋体"/>
          <w:b/>
          <w:color w:val="000000"/>
          <w:sz w:val="32"/>
          <w:szCs w:val="32"/>
        </w:rPr>
      </w:pP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第九条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省工业和信息化厅</w:t>
      </w:r>
      <w:r>
        <w:rPr>
          <w:rFonts w:ascii="仿宋_GB2312" w:eastAsia="仿宋_GB2312" w:hAnsi="宋体" w:cs="宋体" w:hint="eastAsia"/>
          <w:sz w:val="32"/>
          <w:szCs w:val="32"/>
          <w:lang w:val="zh-CN"/>
        </w:rPr>
        <w:t>会同省财政厅、省科技厅、贵阳海关、</w:t>
      </w:r>
      <w:r>
        <w:rPr>
          <w:rFonts w:ascii="仿宋_GB2312" w:eastAsia="仿宋_GB2312" w:hAnsi="宋体" w:cs="宋体" w:hint="eastAsia"/>
          <w:bCs/>
          <w:sz w:val="32"/>
          <w:szCs w:val="32"/>
          <w:lang w:val="zh-CN"/>
        </w:rPr>
        <w:t>省税务局</w:t>
      </w:r>
      <w:r>
        <w:rPr>
          <w:rFonts w:ascii="仿宋_GB2312" w:eastAsia="仿宋_GB2312" w:hAnsi="宋体" w:cs="宋体" w:hint="eastAsia"/>
          <w:sz w:val="32"/>
          <w:szCs w:val="32"/>
          <w:lang w:val="zh-CN"/>
        </w:rPr>
        <w:t>对省企业技术中心每三年进行一次运行评价。</w:t>
      </w:r>
      <w:r>
        <w:rPr>
          <w:rFonts w:ascii="仿宋_GB2312" w:eastAsia="仿宋_GB2312" w:hAnsi="宋体" w:cs="宋体" w:hint="eastAsia"/>
          <w:bCs/>
          <w:sz w:val="32"/>
          <w:szCs w:val="32"/>
          <w:lang w:val="zh-CN"/>
        </w:rPr>
        <w:t>省工业和信息化厅</w:t>
      </w:r>
      <w:r>
        <w:rPr>
          <w:rFonts w:ascii="仿宋_GB2312" w:eastAsia="仿宋_GB2312" w:hAnsi="宋体" w:cs="宋体" w:hint="eastAsia"/>
          <w:sz w:val="32"/>
          <w:szCs w:val="32"/>
          <w:lang w:val="zh-CN"/>
        </w:rPr>
        <w:t>于评价年度下发评价通知。</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第十条</w:t>
      </w:r>
      <w:r>
        <w:rPr>
          <w:rFonts w:ascii="宋体" w:hAnsi="宋体"/>
          <w:color w:val="000000"/>
          <w:sz w:val="32"/>
          <w:szCs w:val="32"/>
        </w:rPr>
        <w:t xml:space="preserve"> </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参加评价的省企业技术中心按通知要求在网上提交相关材料，材料包括：</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1、贵州省企业技术中心评价材料</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2、贵州省企业技术中心工作总结</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第十一条</w:t>
      </w:r>
      <w:r>
        <w:rPr>
          <w:rFonts w:ascii="仿宋_GB2312" w:eastAsia="仿宋_GB2312" w:hAnsi="宋体" w:cs="宋体" w:hint="eastAsia"/>
          <w:bCs/>
          <w:sz w:val="32"/>
          <w:szCs w:val="32"/>
          <w:lang w:val="zh-CN"/>
        </w:rPr>
        <w:t xml:space="preserve">  </w:t>
      </w:r>
      <w:r>
        <w:rPr>
          <w:rFonts w:ascii="仿宋_GB2312" w:eastAsia="仿宋_GB2312" w:hAnsi="宋体" w:cs="宋体" w:hint="eastAsia"/>
          <w:sz w:val="32"/>
          <w:szCs w:val="32"/>
          <w:lang w:val="zh-CN"/>
        </w:rPr>
        <w:t>各市（州）、贵安新区、省直管县工业和信息化主管部门</w:t>
      </w:r>
      <w:r>
        <w:rPr>
          <w:rFonts w:ascii="仿宋_GB2312" w:eastAsia="仿宋_GB2312" w:hAnsi="宋体" w:cs="宋体" w:hint="eastAsia"/>
          <w:bCs/>
          <w:sz w:val="32"/>
          <w:szCs w:val="32"/>
          <w:lang w:val="zh-CN"/>
        </w:rPr>
        <w:t>对省企业技术中心在网上填报的材料进行审查，并出具审查意见。</w:t>
      </w:r>
      <w:r>
        <w:rPr>
          <w:rFonts w:ascii="仿宋_GB2312" w:eastAsia="仿宋_GB2312" w:hAnsi="宋体" w:cs="宋体" w:hint="eastAsia"/>
          <w:sz w:val="32"/>
          <w:szCs w:val="32"/>
          <w:lang w:val="zh-CN"/>
        </w:rPr>
        <w:t>省属企业和中央在黔企业直接向省工业和信息化厅报送。</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第十二条</w:t>
      </w:r>
      <w:r>
        <w:rPr>
          <w:rFonts w:ascii="仿宋_GB2312" w:eastAsia="仿宋_GB2312" w:hAnsi="宋体" w:cs="宋体" w:hint="eastAsia"/>
          <w:bCs/>
          <w:sz w:val="32"/>
          <w:szCs w:val="32"/>
          <w:lang w:val="zh-CN"/>
        </w:rPr>
        <w:t xml:space="preserve">  省工业和信息化厅委托第三方机构，按照《贵州省企业技术中心评价指标体系》，对报送的材料进行核查，核查方式包括召开会议或实地核查等，对核查后的数据按照《贵州省企业技术中心评价指标体系》进行计算、分析，得出评价结果，并形成评价报告。</w:t>
      </w:r>
    </w:p>
    <w:p w:rsidR="006061BF" w:rsidRDefault="00F13AF9" w:rsidP="00F13AF9">
      <w:pPr>
        <w:adjustRightInd w:val="0"/>
        <w:snapToGrid w:val="0"/>
        <w:spacing w:line="560" w:lineRule="exact"/>
        <w:ind w:firstLineChars="200" w:firstLine="640"/>
        <w:rPr>
          <w:rFonts w:ascii="仿宋_GB2312" w:eastAsia="仿宋_GB2312" w:hAnsi="仿宋" w:cs="仿宋"/>
          <w:color w:val="000000"/>
          <w:sz w:val="32"/>
          <w:szCs w:val="32"/>
        </w:rPr>
      </w:pPr>
      <w:r>
        <w:rPr>
          <w:rFonts w:ascii="黑体" w:eastAsia="黑体" w:hAnsi="黑体" w:cs="黑体" w:hint="eastAsia"/>
          <w:bCs/>
          <w:color w:val="000000"/>
          <w:sz w:val="32"/>
          <w:szCs w:val="32"/>
        </w:rPr>
        <w:t>第十三条</w:t>
      </w:r>
      <w:r>
        <w:rPr>
          <w:rFonts w:ascii="宋体" w:hAnsi="宋体" w:hint="eastAsia"/>
          <w:color w:val="000000"/>
          <w:sz w:val="32"/>
          <w:szCs w:val="32"/>
        </w:rPr>
        <w:t xml:space="preserve"> </w:t>
      </w:r>
      <w:r>
        <w:rPr>
          <w:rFonts w:ascii="仿宋" w:eastAsia="仿宋" w:hAnsi="仿宋" w:cs="仿宋" w:hint="eastAsia"/>
          <w:color w:val="000000"/>
          <w:sz w:val="32"/>
          <w:szCs w:val="32"/>
        </w:rPr>
        <w:t xml:space="preserve"> </w:t>
      </w:r>
      <w:r>
        <w:rPr>
          <w:rFonts w:ascii="仿宋_GB2312" w:eastAsia="仿宋_GB2312" w:hAnsi="仿宋" w:cs="仿宋" w:hint="eastAsia"/>
          <w:color w:val="000000"/>
          <w:sz w:val="32"/>
          <w:szCs w:val="32"/>
        </w:rPr>
        <w:t>评价结果分为优秀、良好、基本合格和不合格：</w:t>
      </w:r>
    </w:p>
    <w:p w:rsidR="006061BF" w:rsidRDefault="00F13AF9" w:rsidP="00F13AF9">
      <w:pPr>
        <w:adjustRightInd w:val="0"/>
        <w:snapToGrid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（一）评价得分90分及以上为优秀；</w:t>
      </w:r>
    </w:p>
    <w:p w:rsidR="006061BF" w:rsidRDefault="00F13AF9" w:rsidP="00F13AF9">
      <w:pPr>
        <w:adjustRightInd w:val="0"/>
        <w:snapToGrid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（二）评价得分65分至90分（不含90分）为良好；</w:t>
      </w:r>
    </w:p>
    <w:p w:rsidR="006061BF" w:rsidRDefault="00F13AF9" w:rsidP="00F13AF9">
      <w:pPr>
        <w:adjustRightInd w:val="0"/>
        <w:snapToGrid w:val="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（三）评价得分60分至65分（不含65分）为基本合格；</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仿宋_GB2312" w:eastAsia="仿宋_GB2312" w:hAnsi="仿宋" w:cs="仿宋" w:hint="eastAsia"/>
          <w:color w:val="000000"/>
          <w:sz w:val="32"/>
          <w:szCs w:val="32"/>
        </w:rPr>
        <w:t>（四）评价得分低于60分为不合格。</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第十四条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省工业和信息化厅会同省财政厅、省科技厅、贵</w:t>
      </w:r>
      <w:r>
        <w:rPr>
          <w:rFonts w:ascii="仿宋_GB2312" w:eastAsia="仿宋_GB2312" w:hAnsi="宋体" w:cs="宋体" w:hint="eastAsia"/>
          <w:bCs/>
          <w:sz w:val="32"/>
          <w:szCs w:val="32"/>
          <w:lang w:val="zh-CN"/>
        </w:rPr>
        <w:lastRenderedPageBreak/>
        <w:t>阳海关、省税务局对评价结果进行审核确认并公布。</w:t>
      </w:r>
    </w:p>
    <w:p w:rsidR="006061BF" w:rsidRDefault="00F13AF9" w:rsidP="00F13AF9">
      <w:pPr>
        <w:adjustRightInd w:val="0"/>
        <w:snapToGrid w:val="0"/>
        <w:spacing w:line="560" w:lineRule="exact"/>
        <w:ind w:firstLineChars="200" w:firstLine="640"/>
        <w:rPr>
          <w:rFonts w:ascii="宋体" w:hAnsi="宋体"/>
          <w:color w:val="000000"/>
          <w:sz w:val="32"/>
          <w:szCs w:val="32"/>
        </w:rPr>
      </w:pPr>
      <w:r>
        <w:rPr>
          <w:rFonts w:ascii="黑体" w:eastAsia="黑体" w:hAnsi="黑体" w:cs="黑体" w:hint="eastAsia"/>
          <w:bCs/>
          <w:color w:val="000000"/>
          <w:sz w:val="32"/>
          <w:szCs w:val="32"/>
        </w:rPr>
        <w:t>第十五条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省企业技术中心评价从报送材料截止之日起70个工作日内完成</w:t>
      </w:r>
      <w:r>
        <w:rPr>
          <w:rFonts w:ascii="仿宋_GB2312" w:eastAsia="仿宋_GB2312" w:hAnsi="宋体" w:cs="宋体" w:hint="eastAsia"/>
          <w:sz w:val="32"/>
          <w:szCs w:val="32"/>
          <w:lang w:val="zh-CN"/>
        </w:rPr>
        <w:t>。</w:t>
      </w:r>
    </w:p>
    <w:p w:rsidR="006061BF" w:rsidRDefault="00F13AF9">
      <w:pPr>
        <w:adjustRightInd w:val="0"/>
        <w:snapToGrid w:val="0"/>
        <w:spacing w:line="560" w:lineRule="exact"/>
        <w:jc w:val="center"/>
        <w:rPr>
          <w:rFonts w:ascii="黑体" w:eastAsia="黑体" w:hAnsi="宋体"/>
          <w:color w:val="000000"/>
          <w:sz w:val="32"/>
          <w:szCs w:val="32"/>
        </w:rPr>
      </w:pPr>
      <w:r>
        <w:rPr>
          <w:rFonts w:ascii="宋体" w:hAnsi="宋体" w:hint="eastAsia"/>
          <w:color w:val="000000"/>
          <w:sz w:val="32"/>
          <w:szCs w:val="32"/>
        </w:rPr>
        <w:cr/>
      </w:r>
      <w:r>
        <w:rPr>
          <w:rFonts w:ascii="黑体" w:eastAsia="黑体" w:hAnsi="宋体" w:hint="eastAsia"/>
          <w:color w:val="000000"/>
          <w:sz w:val="32"/>
          <w:szCs w:val="32"/>
        </w:rPr>
        <w:t>第四章  管理与政策</w:t>
      </w:r>
    </w:p>
    <w:p w:rsidR="006061BF" w:rsidRDefault="006061BF" w:rsidP="00F13AF9">
      <w:pPr>
        <w:adjustRightInd w:val="0"/>
        <w:snapToGrid w:val="0"/>
        <w:spacing w:line="560" w:lineRule="exact"/>
        <w:ind w:firstLineChars="200" w:firstLine="643"/>
        <w:rPr>
          <w:rFonts w:ascii="宋体" w:hAnsi="宋体"/>
          <w:b/>
          <w:color w:val="000000"/>
          <w:sz w:val="32"/>
          <w:szCs w:val="32"/>
        </w:rPr>
      </w:pP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第十六条</w:t>
      </w:r>
      <w:r>
        <w:rPr>
          <w:rFonts w:ascii="仿宋" w:eastAsia="仿宋" w:hAnsi="仿宋" w:cs="仿宋" w:hint="eastAsia"/>
          <w:color w:val="000000"/>
          <w:sz w:val="32"/>
          <w:szCs w:val="32"/>
        </w:rPr>
        <w:t xml:space="preserve">  </w:t>
      </w:r>
      <w:r>
        <w:rPr>
          <w:rFonts w:ascii="仿宋_GB2312" w:eastAsia="仿宋_GB2312" w:hAnsi="宋体" w:cs="宋体" w:hint="eastAsia"/>
          <w:bCs/>
          <w:sz w:val="32"/>
          <w:szCs w:val="32"/>
          <w:lang w:val="zh-CN"/>
        </w:rPr>
        <w:t>省企业技术中心每年</w:t>
      </w:r>
      <w:r>
        <w:rPr>
          <w:rFonts w:ascii="仿宋_GB2312" w:eastAsia="仿宋_GB2312" w:hAnsi="宋体" w:cs="宋体" w:hint="eastAsia"/>
          <w:bCs/>
          <w:sz w:val="32"/>
          <w:szCs w:val="32"/>
        </w:rPr>
        <w:t>5</w:t>
      </w:r>
      <w:r>
        <w:rPr>
          <w:rFonts w:ascii="仿宋_GB2312" w:eastAsia="仿宋_GB2312" w:hAnsi="宋体" w:cs="宋体" w:hint="eastAsia"/>
          <w:bCs/>
          <w:sz w:val="32"/>
          <w:szCs w:val="32"/>
          <w:lang w:val="zh-CN"/>
        </w:rPr>
        <w:t>月在网上填报企业技术中心年度运行快报。</w:t>
      </w:r>
    </w:p>
    <w:p w:rsidR="006061BF" w:rsidRDefault="00F13AF9" w:rsidP="00F13AF9">
      <w:pPr>
        <w:adjustRightInd w:val="0"/>
        <w:snapToGrid w:val="0"/>
        <w:spacing w:line="560" w:lineRule="exact"/>
        <w:ind w:firstLineChars="200" w:firstLine="640"/>
        <w:rPr>
          <w:rFonts w:ascii="宋体" w:hAnsi="宋体"/>
          <w:color w:val="000000"/>
          <w:sz w:val="32"/>
          <w:szCs w:val="32"/>
        </w:rPr>
      </w:pPr>
      <w:r>
        <w:rPr>
          <w:rFonts w:ascii="黑体" w:eastAsia="黑体" w:hAnsi="黑体" w:cs="黑体" w:hint="eastAsia"/>
          <w:bCs/>
          <w:color w:val="000000"/>
          <w:sz w:val="32"/>
          <w:szCs w:val="32"/>
        </w:rPr>
        <w:t>第十七条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省企业技术中心所在企业发生更名、重组等重大调整的，应在办理相关手续后30个工作日内将相关情况报省工业和信息化厅。</w:t>
      </w:r>
    </w:p>
    <w:p w:rsidR="006061BF" w:rsidRDefault="00F13AF9" w:rsidP="00F13AF9">
      <w:pPr>
        <w:adjustRightInd w:val="0"/>
        <w:snapToGrid w:val="0"/>
        <w:spacing w:line="560" w:lineRule="exact"/>
        <w:ind w:firstLineChars="196" w:firstLine="627"/>
        <w:rPr>
          <w:rFonts w:ascii="仿宋_GB2312" w:eastAsia="仿宋_GB2312" w:hAnsi="宋体" w:cs="宋体"/>
          <w:bCs/>
          <w:sz w:val="32"/>
          <w:szCs w:val="32"/>
          <w:lang w:val="zh-CN"/>
        </w:rPr>
      </w:pPr>
      <w:r>
        <w:rPr>
          <w:rFonts w:ascii="黑体" w:eastAsia="黑体" w:hAnsi="黑体" w:cs="黑体" w:hint="eastAsia"/>
          <w:bCs/>
          <w:color w:val="000000"/>
          <w:sz w:val="32"/>
          <w:szCs w:val="32"/>
        </w:rPr>
        <w:t>第十八条</w:t>
      </w:r>
      <w:r>
        <w:rPr>
          <w:rFonts w:ascii="宋体" w:hAnsi="宋体" w:hint="eastAsia"/>
          <w:b/>
          <w:color w:val="000000"/>
          <w:sz w:val="32"/>
          <w:szCs w:val="32"/>
        </w:rPr>
        <w:t xml:space="preserve">  </w:t>
      </w:r>
      <w:r>
        <w:rPr>
          <w:rFonts w:ascii="仿宋_GB2312" w:eastAsia="仿宋_GB2312" w:hAnsi="宋体" w:cs="宋体" w:hint="eastAsia"/>
          <w:bCs/>
          <w:sz w:val="32"/>
          <w:szCs w:val="32"/>
          <w:lang w:val="zh-CN"/>
        </w:rPr>
        <w:t>有下列情况之一的，撤销省企业技术中心称号：</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（一）运行评价不合格；</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（二）逾期未报送运行评价相关材料；</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（三）提供虚假材料和数据；</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（四）主要由于技术原因发生重大质量、安全事故；</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（五）因违反海关法及有关法律、行政法规，构成走私行为，受到刑事、行政处罚，或因严重违反海关监管规定受到行政处罚；</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（六）因违反税收征管法及有关法律、行政法规，构成偷税、骗取出口退税等严重税收违法行为；</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（七）司法、行政机关认定的其他严重违法失信行为；</w:t>
      </w:r>
    </w:p>
    <w:p w:rsidR="006061BF" w:rsidRDefault="00F13AF9" w:rsidP="00F13AF9">
      <w:pPr>
        <w:adjustRightInd w:val="0"/>
        <w:snapToGrid w:val="0"/>
        <w:spacing w:line="560" w:lineRule="exact"/>
        <w:ind w:firstLineChars="228" w:firstLine="73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（八）企业被依法终止。</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第十九条</w:t>
      </w:r>
      <w:r>
        <w:rPr>
          <w:rFonts w:ascii="宋体" w:hAnsi="宋体" w:hint="eastAsia"/>
          <w:color w:val="000000"/>
          <w:sz w:val="32"/>
          <w:szCs w:val="32"/>
        </w:rPr>
        <w:t xml:space="preserve"> </w:t>
      </w:r>
      <w:r>
        <w:rPr>
          <w:rFonts w:ascii="宋体" w:hAnsi="宋体"/>
          <w:color w:val="000000"/>
          <w:sz w:val="32"/>
          <w:szCs w:val="32"/>
        </w:rPr>
        <w:t xml:space="preserve"> </w:t>
      </w:r>
      <w:r>
        <w:rPr>
          <w:rFonts w:ascii="仿宋_GB2312" w:eastAsia="仿宋_GB2312" w:hAnsi="宋体" w:cs="宋体" w:hint="eastAsia"/>
          <w:bCs/>
          <w:sz w:val="32"/>
          <w:szCs w:val="32"/>
          <w:lang w:val="zh-CN"/>
        </w:rPr>
        <w:t>有本办法第十八条第（一）、（二）项情况的，参</w:t>
      </w:r>
      <w:r>
        <w:rPr>
          <w:rFonts w:ascii="仿宋_GB2312" w:eastAsia="仿宋_GB2312" w:hAnsi="宋体" w:cs="宋体" w:hint="eastAsia"/>
          <w:bCs/>
          <w:sz w:val="32"/>
          <w:szCs w:val="32"/>
          <w:lang w:val="zh-CN"/>
        </w:rPr>
        <w:lastRenderedPageBreak/>
        <w:t>照《国家企业技术中心认定管理办法》第二十四条第一款进行管理。</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仿宋_GB2312" w:eastAsia="仿宋_GB2312" w:hAnsi="宋体" w:cs="宋体" w:hint="eastAsia"/>
          <w:bCs/>
          <w:sz w:val="32"/>
          <w:szCs w:val="32"/>
          <w:lang w:val="zh-CN"/>
        </w:rPr>
        <w:t>有本办法第十八条第（三）～（七）项情况的，参照《国家企业技术中心认定管理办法》第二十四条第二款进行管理。</w:t>
      </w:r>
    </w:p>
    <w:p w:rsidR="006061BF" w:rsidRDefault="00F13AF9" w:rsidP="00F13AF9">
      <w:pPr>
        <w:adjustRightInd w:val="0"/>
        <w:snapToGrid w:val="0"/>
        <w:spacing w:line="560" w:lineRule="exact"/>
        <w:ind w:firstLineChars="200" w:firstLine="640"/>
        <w:rPr>
          <w:rFonts w:ascii="宋体" w:hAnsi="宋体"/>
          <w:color w:val="000000"/>
          <w:sz w:val="32"/>
          <w:szCs w:val="32"/>
        </w:rPr>
      </w:pPr>
      <w:r>
        <w:rPr>
          <w:rFonts w:ascii="黑体" w:eastAsia="黑体" w:hAnsi="黑体" w:cs="黑体" w:hint="eastAsia"/>
          <w:bCs/>
          <w:color w:val="000000"/>
          <w:sz w:val="32"/>
          <w:szCs w:val="32"/>
        </w:rPr>
        <w:t>第二十条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省工业和信息化厅</w:t>
      </w:r>
      <w:r>
        <w:rPr>
          <w:rFonts w:ascii="仿宋_GB2312" w:eastAsia="仿宋_GB2312" w:hAnsi="宋体" w:cs="宋体" w:hint="eastAsia"/>
          <w:sz w:val="32"/>
          <w:szCs w:val="32"/>
          <w:lang w:val="zh-CN"/>
        </w:rPr>
        <w:t>负责指导和督促评价基本合格的省企业技术中心改进工作。</w:t>
      </w:r>
    </w:p>
    <w:p w:rsidR="006061BF" w:rsidRDefault="00F13AF9" w:rsidP="00F13AF9">
      <w:pPr>
        <w:adjustRightInd w:val="0"/>
        <w:snapToGrid w:val="0"/>
        <w:spacing w:line="560" w:lineRule="exact"/>
        <w:ind w:firstLineChars="200" w:firstLine="640"/>
        <w:rPr>
          <w:rFonts w:ascii="仿宋_GB2312" w:eastAsia="仿宋_GB2312" w:hAnsi="宋体" w:cs="宋体"/>
          <w:sz w:val="32"/>
          <w:szCs w:val="32"/>
          <w:lang w:val="zh-CN"/>
        </w:rPr>
      </w:pPr>
      <w:r>
        <w:rPr>
          <w:rFonts w:ascii="黑体" w:eastAsia="黑体" w:hAnsi="黑体" w:cs="黑体" w:hint="eastAsia"/>
          <w:bCs/>
          <w:color w:val="000000"/>
          <w:sz w:val="32"/>
          <w:szCs w:val="32"/>
        </w:rPr>
        <w:t>第二十一条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省工业和信息化厅会同省财政厅、省科技厅、贵阳海关、省税务局联合发文，</w:t>
      </w:r>
      <w:r>
        <w:rPr>
          <w:rFonts w:ascii="仿宋_GB2312" w:eastAsia="仿宋_GB2312" w:hAnsi="宋体" w:cs="宋体" w:hint="eastAsia"/>
          <w:sz w:val="32"/>
          <w:szCs w:val="32"/>
          <w:lang w:val="zh-CN"/>
        </w:rPr>
        <w:t>向各市（州）、贵安新区、省直管县工业和信息化主管部门及同级管理部门通报省企业技术中心调整、撤销及更名结果，并在省工业和信息化厅网站公开。</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第二十二条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省工业和信息化厅、省财政厅、省科技厅、贵阳海关、省税务局共同对省企业技术中心予以指导和支持。</w:t>
      </w:r>
    </w:p>
    <w:p w:rsidR="006061BF" w:rsidRDefault="006061BF">
      <w:pPr>
        <w:adjustRightInd w:val="0"/>
        <w:snapToGrid w:val="0"/>
        <w:spacing w:line="560" w:lineRule="exact"/>
        <w:jc w:val="center"/>
        <w:rPr>
          <w:rFonts w:ascii="黑体" w:eastAsia="黑体" w:hAnsi="宋体"/>
          <w:color w:val="000000"/>
          <w:sz w:val="32"/>
          <w:szCs w:val="32"/>
        </w:rPr>
      </w:pPr>
    </w:p>
    <w:p w:rsidR="006061BF" w:rsidRDefault="00F13AF9">
      <w:pPr>
        <w:adjustRightInd w:val="0"/>
        <w:snapToGrid w:val="0"/>
        <w:spacing w:line="560" w:lineRule="exact"/>
        <w:jc w:val="center"/>
        <w:rPr>
          <w:rFonts w:ascii="黑体" w:eastAsia="黑体" w:hAnsi="宋体"/>
          <w:color w:val="000000"/>
          <w:sz w:val="32"/>
          <w:szCs w:val="32"/>
        </w:rPr>
      </w:pPr>
      <w:r>
        <w:rPr>
          <w:rFonts w:ascii="黑体" w:eastAsia="黑体" w:hAnsi="宋体" w:hint="eastAsia"/>
          <w:color w:val="000000"/>
          <w:sz w:val="32"/>
          <w:szCs w:val="32"/>
        </w:rPr>
        <w:t>第五章</w:t>
      </w:r>
      <w:r>
        <w:rPr>
          <w:rFonts w:ascii="黑体" w:eastAsia="黑体" w:hAnsi="宋体"/>
          <w:color w:val="000000"/>
          <w:sz w:val="32"/>
          <w:szCs w:val="32"/>
        </w:rPr>
        <w:t xml:space="preserve"> </w:t>
      </w:r>
      <w:r>
        <w:rPr>
          <w:rFonts w:ascii="黑体" w:eastAsia="黑体" w:hAnsi="宋体" w:hint="eastAsia"/>
          <w:color w:val="000000"/>
          <w:sz w:val="32"/>
          <w:szCs w:val="32"/>
        </w:rPr>
        <w:t xml:space="preserve"> 附</w:t>
      </w:r>
      <w:r>
        <w:rPr>
          <w:rFonts w:ascii="黑体" w:eastAsia="黑体" w:hAnsi="宋体"/>
          <w:color w:val="000000"/>
          <w:sz w:val="32"/>
          <w:szCs w:val="32"/>
        </w:rPr>
        <w:t xml:space="preserve"> </w:t>
      </w:r>
      <w:r>
        <w:rPr>
          <w:rFonts w:ascii="黑体" w:eastAsia="黑体" w:hAnsi="宋体" w:hint="eastAsia"/>
          <w:color w:val="000000"/>
          <w:sz w:val="32"/>
          <w:szCs w:val="32"/>
        </w:rPr>
        <w:t>则</w:t>
      </w:r>
    </w:p>
    <w:p w:rsidR="006061BF" w:rsidRDefault="006061BF" w:rsidP="00F13AF9">
      <w:pPr>
        <w:adjustRightInd w:val="0"/>
        <w:snapToGrid w:val="0"/>
        <w:spacing w:line="560" w:lineRule="exact"/>
        <w:ind w:firstLineChars="200" w:firstLine="643"/>
        <w:rPr>
          <w:rFonts w:ascii="宋体" w:hAnsi="宋体"/>
          <w:b/>
          <w:color w:val="000000"/>
          <w:sz w:val="32"/>
          <w:szCs w:val="32"/>
        </w:rPr>
      </w:pPr>
    </w:p>
    <w:p w:rsidR="006061BF" w:rsidRDefault="00F13AF9" w:rsidP="00F13AF9">
      <w:pPr>
        <w:adjustRightInd w:val="0"/>
        <w:snapToGrid w:val="0"/>
        <w:spacing w:line="560" w:lineRule="exact"/>
        <w:ind w:firstLineChars="200" w:firstLine="640"/>
        <w:rPr>
          <w:rFonts w:ascii="宋体" w:hAnsi="宋体"/>
          <w:color w:val="000000"/>
          <w:sz w:val="32"/>
          <w:szCs w:val="32"/>
        </w:rPr>
      </w:pPr>
      <w:r>
        <w:rPr>
          <w:rFonts w:ascii="黑体" w:eastAsia="黑体" w:hAnsi="黑体" w:cs="黑体" w:hint="eastAsia"/>
          <w:bCs/>
          <w:color w:val="000000"/>
          <w:sz w:val="32"/>
          <w:szCs w:val="32"/>
        </w:rPr>
        <w:t>第二十三条</w:t>
      </w:r>
      <w:r>
        <w:rPr>
          <w:rFonts w:ascii="宋体" w:hAnsi="宋体" w:hint="eastAsia"/>
          <w:b/>
          <w:color w:val="000000"/>
          <w:sz w:val="32"/>
          <w:szCs w:val="32"/>
        </w:rPr>
        <w:t xml:space="preserve">  </w:t>
      </w:r>
      <w:r>
        <w:rPr>
          <w:rFonts w:ascii="仿宋_GB2312" w:eastAsia="仿宋_GB2312" w:hAnsi="宋体" w:cs="宋体" w:hint="eastAsia"/>
          <w:bCs/>
          <w:sz w:val="32"/>
          <w:szCs w:val="32"/>
          <w:lang w:val="zh-CN"/>
        </w:rPr>
        <w:t>本办法涉及的申请材料、评价相关材料和评价指标体系的内容和要求见附件，省工业和信息化厅商省财政厅、省科技厅、贵阳海关、省税务局根据需要适时调整。</w:t>
      </w:r>
    </w:p>
    <w:p w:rsidR="006061BF" w:rsidRDefault="00F13AF9" w:rsidP="00F13AF9">
      <w:pPr>
        <w:adjustRightInd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第二十四条</w:t>
      </w:r>
      <w:r>
        <w:rPr>
          <w:rFonts w:ascii="宋体" w:hAnsi="宋体" w:hint="eastAsia"/>
          <w:color w:val="000000"/>
          <w:sz w:val="32"/>
          <w:szCs w:val="32"/>
        </w:rPr>
        <w:t xml:space="preserve">  </w:t>
      </w:r>
      <w:r>
        <w:rPr>
          <w:rFonts w:ascii="仿宋_GB2312" w:eastAsia="仿宋_GB2312" w:hAnsi="宋体" w:cs="宋体" w:hint="eastAsia"/>
          <w:bCs/>
          <w:sz w:val="32"/>
          <w:szCs w:val="32"/>
          <w:lang w:val="zh-CN"/>
        </w:rPr>
        <w:t>本办法自发布之日起施行。2017年发布的《关于印发〈贵州省企业技术中心认定管理办法〉的通知》（黔经信技质[2017]4号）同时废止。</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lang w:val="zh-CN"/>
        </w:rPr>
      </w:pPr>
      <w:r>
        <w:rPr>
          <w:rFonts w:ascii="黑体" w:eastAsia="黑体" w:hAnsi="黑体" w:cs="黑体" w:hint="eastAsia"/>
          <w:bCs/>
          <w:color w:val="000000"/>
          <w:sz w:val="32"/>
          <w:szCs w:val="32"/>
        </w:rPr>
        <w:t>第二十五条</w:t>
      </w:r>
      <w:r>
        <w:rPr>
          <w:rFonts w:ascii="宋体" w:hAnsi="宋体" w:hint="eastAsia"/>
          <w:color w:val="000000"/>
          <w:sz w:val="32"/>
          <w:szCs w:val="32"/>
        </w:rPr>
        <w:t xml:space="preserve"> </w:t>
      </w:r>
      <w:r>
        <w:rPr>
          <w:rFonts w:ascii="宋体" w:hAnsi="宋体"/>
          <w:color w:val="000000"/>
          <w:sz w:val="32"/>
          <w:szCs w:val="32"/>
        </w:rPr>
        <w:t xml:space="preserve"> </w:t>
      </w:r>
      <w:r>
        <w:rPr>
          <w:rFonts w:ascii="仿宋_GB2312" w:eastAsia="仿宋_GB2312" w:hAnsi="宋体" w:cs="宋体" w:hint="eastAsia"/>
          <w:bCs/>
          <w:sz w:val="32"/>
          <w:szCs w:val="32"/>
          <w:lang w:val="zh-CN"/>
        </w:rPr>
        <w:t>本办法由省工业和信息化厅会同省财政厅、省科技厅、贵阳海关、省税务局负责解释。</w:t>
      </w:r>
    </w:p>
    <w:p w:rsidR="006061BF" w:rsidRDefault="006061BF" w:rsidP="00F13AF9">
      <w:pPr>
        <w:adjustRightInd w:val="0"/>
        <w:snapToGrid w:val="0"/>
        <w:spacing w:line="560" w:lineRule="exact"/>
        <w:ind w:firstLineChars="200" w:firstLine="640"/>
        <w:rPr>
          <w:rFonts w:ascii="仿宋_GB2312" w:eastAsia="仿宋_GB2312" w:hAnsi="仿宋_GB2312" w:cs="仿宋_GB2312"/>
          <w:color w:val="000000"/>
          <w:sz w:val="32"/>
          <w:szCs w:val="32"/>
        </w:rPr>
      </w:pP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lang w:val="zh-CN"/>
        </w:rPr>
        <w:lastRenderedPageBreak/>
        <w:t>附件：1.</w:t>
      </w:r>
      <w:r>
        <w:rPr>
          <w:rFonts w:ascii="仿宋_GB2312" w:eastAsia="仿宋_GB2312" w:hAnsi="宋体" w:cs="宋体" w:hint="eastAsia"/>
          <w:bCs/>
          <w:sz w:val="32"/>
          <w:szCs w:val="32"/>
        </w:rPr>
        <w:t>《贵州省企业技术中心申请报告》编写提纲</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2．贵州省企业技术中心评价材料</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3．贵州省企业技术中心评价指标体系</w:t>
      </w:r>
    </w:p>
    <w:p w:rsidR="006061BF" w:rsidRDefault="00F13AF9" w:rsidP="00F13AF9">
      <w:pPr>
        <w:adjustRightInd w:val="0"/>
        <w:snapToGrid w:val="0"/>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 xml:space="preserve">      4.《贵州省企业技术中心工作总结》编写</w:t>
      </w:r>
      <w:r>
        <w:rPr>
          <w:rFonts w:ascii="仿宋_GB2312" w:eastAsia="仿宋_GB2312" w:hAnsi="宋体" w:cs="宋体"/>
          <w:bCs/>
          <w:sz w:val="32"/>
          <w:szCs w:val="32"/>
        </w:rPr>
        <w:t>提纲</w:t>
      </w:r>
    </w:p>
    <w:p w:rsidR="006061BF" w:rsidRDefault="006061BF">
      <w:pPr>
        <w:adjustRightInd w:val="0"/>
        <w:snapToGrid w:val="0"/>
        <w:spacing w:line="520" w:lineRule="exact"/>
        <w:ind w:firstLineChars="200" w:firstLine="420"/>
        <w:rPr>
          <w:rFonts w:ascii="仿宋_GB2312" w:eastAsia="仿宋_GB2312" w:hAnsi="仿宋_GB2312" w:cs="仿宋_GB2312"/>
          <w:color w:val="000000"/>
          <w:szCs w:val="21"/>
        </w:rPr>
      </w:pPr>
    </w:p>
    <w:p w:rsidR="006061BF" w:rsidRDefault="00F13AF9">
      <w:pPr>
        <w:widowControl/>
        <w:jc w:val="left"/>
        <w:rPr>
          <w:rFonts w:ascii="黑体" w:eastAsia="黑体" w:hAnsi="黑体" w:cs="黑体"/>
          <w:color w:val="000000"/>
          <w:sz w:val="28"/>
          <w:szCs w:val="28"/>
        </w:rPr>
      </w:pPr>
      <w:r>
        <w:rPr>
          <w:rFonts w:ascii="黑体" w:eastAsia="黑体" w:hAnsi="黑体" w:cs="黑体"/>
          <w:color w:val="000000"/>
          <w:sz w:val="28"/>
          <w:szCs w:val="28"/>
        </w:rPr>
        <w:br w:type="page"/>
      </w:r>
    </w:p>
    <w:p w:rsidR="006061BF" w:rsidRDefault="00F13AF9">
      <w:pPr>
        <w:adjustRightInd w:val="0"/>
        <w:snapToGrid w:val="0"/>
        <w:spacing w:line="560" w:lineRule="exact"/>
        <w:rPr>
          <w:rFonts w:ascii="宋体" w:hAnsi="宋体"/>
          <w:color w:val="000000"/>
          <w:sz w:val="28"/>
          <w:szCs w:val="28"/>
        </w:rPr>
      </w:pPr>
      <w:r>
        <w:rPr>
          <w:rFonts w:ascii="黑体" w:eastAsia="黑体" w:hAnsi="黑体" w:cs="黑体" w:hint="eastAsia"/>
          <w:color w:val="000000"/>
          <w:sz w:val="28"/>
          <w:szCs w:val="28"/>
        </w:rPr>
        <w:lastRenderedPageBreak/>
        <w:t>附件1：</w:t>
      </w:r>
    </w:p>
    <w:p w:rsidR="006061BF" w:rsidRDefault="006061BF">
      <w:pPr>
        <w:adjustRightInd w:val="0"/>
        <w:snapToGrid w:val="0"/>
        <w:spacing w:line="560" w:lineRule="exact"/>
        <w:jc w:val="center"/>
        <w:rPr>
          <w:rFonts w:ascii="方正小标宋简体" w:eastAsia="方正小标宋简体" w:hAnsi="方正小标宋简体" w:cs="方正小标宋简体"/>
          <w:color w:val="000000"/>
          <w:sz w:val="28"/>
          <w:szCs w:val="28"/>
        </w:rPr>
      </w:pPr>
    </w:p>
    <w:p w:rsidR="006061BF" w:rsidRDefault="00F13AF9">
      <w:pPr>
        <w:adjustRightInd w:val="0"/>
        <w:snapToGrid w:val="0"/>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《贵州省企业技术中心申请报告》</w:t>
      </w:r>
    </w:p>
    <w:p w:rsidR="006061BF" w:rsidRDefault="00F13AF9">
      <w:pPr>
        <w:adjustRightInd w:val="0"/>
        <w:snapToGrid w:val="0"/>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编写提纲</w:t>
      </w:r>
    </w:p>
    <w:p w:rsidR="006061BF" w:rsidRDefault="006061BF">
      <w:pPr>
        <w:widowControl/>
        <w:adjustRightInd w:val="0"/>
        <w:snapToGrid w:val="0"/>
        <w:spacing w:line="560" w:lineRule="exact"/>
        <w:jc w:val="center"/>
        <w:rPr>
          <w:rFonts w:ascii="宋体" w:hAnsi="宋体"/>
          <w:b/>
          <w:bCs/>
          <w:color w:val="000000"/>
          <w:sz w:val="28"/>
          <w:szCs w:val="28"/>
        </w:rPr>
      </w:pPr>
    </w:p>
    <w:p w:rsidR="006061BF" w:rsidRDefault="00F13AF9">
      <w:pPr>
        <w:numPr>
          <w:ilvl w:val="0"/>
          <w:numId w:val="2"/>
        </w:numPr>
        <w:autoSpaceDE w:val="0"/>
        <w:autoSpaceDN w:val="0"/>
        <w:adjustRightInd w:val="0"/>
        <w:snapToGrid w:val="0"/>
        <w:spacing w:line="560" w:lineRule="exact"/>
        <w:ind w:firstLineChars="200" w:firstLine="640"/>
        <w:rPr>
          <w:rFonts w:ascii="黑体" w:eastAsia="黑体" w:hAnsi="仿宋_GB2312" w:cs="仿宋_GB2312"/>
          <w:color w:val="000000"/>
          <w:kern w:val="0"/>
          <w:sz w:val="32"/>
          <w:szCs w:val="32"/>
        </w:rPr>
      </w:pPr>
      <w:r>
        <w:rPr>
          <w:rFonts w:ascii="黑体" w:eastAsia="黑体" w:hAnsi="仿宋_GB2312" w:cs="仿宋_GB2312" w:hint="eastAsia"/>
          <w:bCs/>
          <w:color w:val="000000"/>
          <w:kern w:val="0"/>
          <w:sz w:val="32"/>
          <w:szCs w:val="32"/>
        </w:rPr>
        <w:t>企业的地位和作用</w:t>
      </w:r>
    </w:p>
    <w:p w:rsidR="006061BF" w:rsidRDefault="00F13AF9">
      <w:pPr>
        <w:numPr>
          <w:ilvl w:val="0"/>
          <w:numId w:val="3"/>
        </w:num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企业基本情况。包括所有制性质、主要下属企业，职工人数、企业总资产、资产负债率、银行信用等级、销售收入、利润、主导产品及市场占有率等。</w:t>
      </w:r>
    </w:p>
    <w:p w:rsidR="006061BF" w:rsidRDefault="00F13AF9">
      <w:pPr>
        <w:numPr>
          <w:ilvl w:val="0"/>
          <w:numId w:val="3"/>
        </w:num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企业的行业地位和竞争力。结合行业集中度和企业在行业中的综合排序，分析企业在本行业的领先地位和竞争优势，与国际同行业企业相比所具有的规模和技术优势。</w:t>
      </w:r>
    </w:p>
    <w:p w:rsidR="006061BF" w:rsidRDefault="00F13AF9">
      <w:pPr>
        <w:numPr>
          <w:ilvl w:val="0"/>
          <w:numId w:val="3"/>
        </w:num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企业对本行业技术创新的引领作用。包括企业对行业技术进步、结构调整、节能减排、资源节约综合利用等方面的示范和带动作用。</w:t>
      </w:r>
    </w:p>
    <w:p w:rsidR="006061BF" w:rsidRDefault="00F13AF9">
      <w:pPr>
        <w:autoSpaceDE w:val="0"/>
        <w:autoSpaceDN w:val="0"/>
        <w:adjustRightInd w:val="0"/>
        <w:snapToGrid w:val="0"/>
        <w:spacing w:line="560" w:lineRule="exact"/>
        <w:ind w:firstLineChars="200" w:firstLine="640"/>
        <w:jc w:val="left"/>
        <w:rPr>
          <w:rFonts w:ascii="黑体" w:eastAsia="黑体" w:hAnsi="仿宋_GB2312" w:cs="仿宋_GB2312"/>
          <w:color w:val="000000"/>
          <w:kern w:val="0"/>
          <w:sz w:val="32"/>
          <w:szCs w:val="32"/>
        </w:rPr>
      </w:pPr>
      <w:r>
        <w:rPr>
          <w:rFonts w:ascii="黑体" w:eastAsia="黑体" w:hAnsi="仿宋_GB2312" w:cs="仿宋_GB2312" w:hint="eastAsia"/>
          <w:bCs/>
          <w:color w:val="000000"/>
          <w:kern w:val="0"/>
          <w:sz w:val="32"/>
          <w:szCs w:val="32"/>
        </w:rPr>
        <w:t>二、企业技术创新的现状和成绩</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宋体" w:cs="宋体" w:hint="eastAsia"/>
          <w:bCs/>
          <w:sz w:val="32"/>
          <w:szCs w:val="32"/>
        </w:rPr>
        <w:t>．</w:t>
      </w:r>
      <w:r>
        <w:rPr>
          <w:rFonts w:ascii="仿宋_GB2312" w:eastAsia="仿宋_GB2312" w:hAnsi="仿宋_GB2312" w:cs="仿宋_GB2312"/>
          <w:color w:val="000000"/>
          <w:kern w:val="0"/>
          <w:sz w:val="32"/>
          <w:szCs w:val="32"/>
        </w:rPr>
        <w:t>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宋体" w:cs="宋体" w:hint="eastAsia"/>
          <w:bCs/>
          <w:sz w:val="32"/>
          <w:szCs w:val="32"/>
        </w:rPr>
        <w:t>．</w:t>
      </w:r>
      <w:r>
        <w:rPr>
          <w:rFonts w:ascii="仿宋_GB2312" w:eastAsia="仿宋_GB2312" w:hAnsi="仿宋_GB2312" w:cs="仿宋_GB2312"/>
          <w:color w:val="000000"/>
          <w:kern w:val="0"/>
          <w:sz w:val="32"/>
          <w:szCs w:val="32"/>
        </w:rPr>
        <w:t>企业技术中心创新资源整合情况。包括企业技术中心技术带头人及创新团队建设情况、研发经费投入情况、研究开发和试验基础条件建设情况、信息化建设情况</w:t>
      </w:r>
      <w:r>
        <w:rPr>
          <w:rFonts w:ascii="仿宋_GB2312" w:eastAsia="仿宋_GB2312" w:hAnsi="仿宋_GB2312" w:cs="仿宋_GB2312" w:hint="eastAsia"/>
          <w:color w:val="000000"/>
          <w:kern w:val="0"/>
          <w:sz w:val="32"/>
          <w:szCs w:val="32"/>
        </w:rPr>
        <w:t>、科研成果转化能力情况</w:t>
      </w:r>
      <w:r>
        <w:rPr>
          <w:rFonts w:ascii="仿宋_GB2312" w:eastAsia="仿宋_GB2312" w:hAnsi="仿宋_GB2312" w:cs="仿宋_GB2312"/>
          <w:color w:val="000000"/>
          <w:kern w:val="0"/>
          <w:sz w:val="32"/>
          <w:szCs w:val="32"/>
        </w:rPr>
        <w:t>等。</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3</w:t>
      </w:r>
      <w:r>
        <w:rPr>
          <w:rFonts w:ascii="仿宋_GB2312" w:eastAsia="仿宋_GB2312" w:hAnsi="宋体" w:cs="宋体" w:hint="eastAsia"/>
          <w:bCs/>
          <w:sz w:val="32"/>
          <w:szCs w:val="32"/>
        </w:rPr>
        <w:t>．</w:t>
      </w:r>
      <w:r>
        <w:rPr>
          <w:rFonts w:ascii="仿宋_GB2312" w:eastAsia="仿宋_GB2312" w:hAnsi="仿宋_GB2312" w:cs="仿宋_GB2312"/>
          <w:color w:val="000000"/>
          <w:kern w:val="0"/>
          <w:sz w:val="32"/>
          <w:szCs w:val="32"/>
        </w:rPr>
        <w:t>企业技术中心研究开发工作开展情况。包括重大产品创新、工艺创新、商业模式创新、产学研合作、企业间合作、国际化研发活动等。</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宋体" w:cs="宋体" w:hint="eastAsia"/>
          <w:bCs/>
          <w:sz w:val="32"/>
          <w:szCs w:val="32"/>
        </w:rPr>
        <w:t>．</w:t>
      </w:r>
      <w:r>
        <w:rPr>
          <w:rFonts w:ascii="仿宋_GB2312" w:eastAsia="仿宋_GB2312" w:hAnsi="仿宋_GB2312" w:cs="仿宋_GB2312"/>
          <w:color w:val="000000"/>
          <w:kern w:val="0"/>
          <w:sz w:val="32"/>
          <w:szCs w:val="32"/>
        </w:rPr>
        <w:t>企业技术中心取得的主要创新成果。形成的核心技术及自主知识产权情况，重点介绍相关技术成果对企业核心产品研发、核心竞争力提升的支撑作用，以及取得的经济社会效益</w:t>
      </w:r>
      <w:r>
        <w:rPr>
          <w:rFonts w:ascii="仿宋_GB2312" w:eastAsia="仿宋_GB2312" w:hAnsi="仿宋_GB2312" w:cs="仿宋_GB2312" w:hint="eastAsia"/>
          <w:color w:val="000000"/>
          <w:kern w:val="0"/>
          <w:sz w:val="32"/>
          <w:szCs w:val="32"/>
        </w:rPr>
        <w:t>。</w:t>
      </w:r>
    </w:p>
    <w:p w:rsidR="006061BF" w:rsidRDefault="00F13AF9">
      <w:pPr>
        <w:autoSpaceDE w:val="0"/>
        <w:autoSpaceDN w:val="0"/>
        <w:adjustRightInd w:val="0"/>
        <w:snapToGrid w:val="0"/>
        <w:spacing w:line="560" w:lineRule="exact"/>
        <w:ind w:firstLineChars="200" w:firstLine="640"/>
        <w:rPr>
          <w:rFonts w:ascii="黑体" w:eastAsia="黑体" w:hAnsi="仿宋_GB2312" w:cs="仿宋_GB2312"/>
          <w:color w:val="000000"/>
          <w:kern w:val="0"/>
          <w:sz w:val="32"/>
          <w:szCs w:val="32"/>
        </w:rPr>
      </w:pPr>
      <w:r>
        <w:rPr>
          <w:rFonts w:ascii="黑体" w:eastAsia="黑体" w:hAnsi="仿宋_GB2312" w:cs="仿宋_GB2312" w:hint="eastAsia"/>
          <w:color w:val="000000"/>
          <w:kern w:val="0"/>
          <w:sz w:val="32"/>
          <w:szCs w:val="32"/>
        </w:rPr>
        <w:t>三、</w:t>
      </w:r>
      <w:r>
        <w:rPr>
          <w:rFonts w:ascii="黑体" w:eastAsia="黑体" w:hint="eastAsia"/>
          <w:sz w:val="32"/>
          <w:szCs w:val="32"/>
        </w:rPr>
        <w:t>组建省企业技术中心实施方案的主要内容</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宋体" w:cs="宋体" w:hint="eastAsia"/>
          <w:bCs/>
          <w:sz w:val="32"/>
          <w:szCs w:val="32"/>
        </w:rPr>
        <w:t>．</w:t>
      </w:r>
      <w:r>
        <w:rPr>
          <w:rFonts w:ascii="仿宋_GB2312" w:eastAsia="仿宋_GB2312" w:hAnsi="仿宋_GB2312" w:cs="仿宋_GB2312" w:hint="eastAsia"/>
          <w:color w:val="000000"/>
          <w:kern w:val="0"/>
          <w:sz w:val="32"/>
          <w:szCs w:val="32"/>
        </w:rPr>
        <w:t>主要建设内容（技术方案、设备方案、建设工程方案、关键技术研发）；</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宋体" w:cs="宋体" w:hint="eastAsia"/>
          <w:bCs/>
          <w:sz w:val="32"/>
          <w:szCs w:val="32"/>
        </w:rPr>
        <w:t>．</w:t>
      </w:r>
      <w:r>
        <w:rPr>
          <w:rFonts w:ascii="仿宋_GB2312" w:eastAsia="仿宋_GB2312" w:hAnsi="仿宋_GB2312" w:cs="仿宋_GB2312" w:hint="eastAsia"/>
          <w:color w:val="000000"/>
          <w:kern w:val="0"/>
          <w:sz w:val="32"/>
          <w:szCs w:val="32"/>
        </w:rPr>
        <w:t>企业现有支持配套条件、技术条件（硬件设施、技术团队、产学研合作平台）、生产条件（小试、中试）；</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宋体" w:cs="宋体" w:hint="eastAsia"/>
          <w:bCs/>
          <w:sz w:val="32"/>
          <w:szCs w:val="32"/>
        </w:rPr>
        <w:t>．</w:t>
      </w:r>
      <w:r>
        <w:rPr>
          <w:rFonts w:ascii="仿宋_GB2312" w:eastAsia="仿宋_GB2312" w:hAnsi="仿宋_GB2312" w:cs="仿宋_GB2312" w:hint="eastAsia"/>
          <w:color w:val="000000"/>
          <w:kern w:val="0"/>
          <w:sz w:val="32"/>
          <w:szCs w:val="32"/>
        </w:rPr>
        <w:t>创新能力建设达到的目标；</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宋体" w:cs="宋体" w:hint="eastAsia"/>
          <w:bCs/>
          <w:sz w:val="32"/>
          <w:szCs w:val="32"/>
        </w:rPr>
        <w:t>．</w:t>
      </w:r>
      <w:r>
        <w:rPr>
          <w:rFonts w:ascii="仿宋_GB2312" w:eastAsia="仿宋_GB2312" w:hAnsi="仿宋_GB2312" w:cs="仿宋_GB2312" w:hint="eastAsia"/>
          <w:color w:val="000000"/>
          <w:kern w:val="0"/>
          <w:sz w:val="32"/>
          <w:szCs w:val="32"/>
        </w:rPr>
        <w:t>建设地点、投资（资金使用方案）、进度安排。</w:t>
      </w:r>
    </w:p>
    <w:p w:rsidR="006061BF" w:rsidRDefault="00F13AF9">
      <w:pPr>
        <w:autoSpaceDE w:val="0"/>
        <w:autoSpaceDN w:val="0"/>
        <w:adjustRightInd w:val="0"/>
        <w:snapToGrid w:val="0"/>
        <w:spacing w:line="560" w:lineRule="exact"/>
        <w:ind w:firstLineChars="200" w:firstLine="640"/>
        <w:rPr>
          <w:rFonts w:ascii="黑体" w:eastAsia="黑体" w:hAnsi="仿宋_GB2312" w:cs="仿宋_GB2312"/>
          <w:bCs/>
          <w:color w:val="000000"/>
          <w:kern w:val="0"/>
          <w:sz w:val="32"/>
          <w:szCs w:val="32"/>
        </w:rPr>
      </w:pPr>
      <w:r>
        <w:rPr>
          <w:rFonts w:ascii="黑体" w:eastAsia="黑体" w:hAnsi="仿宋_GB2312" w:cs="仿宋_GB2312" w:hint="eastAsia"/>
          <w:bCs/>
          <w:color w:val="000000"/>
          <w:kern w:val="0"/>
          <w:sz w:val="32"/>
          <w:szCs w:val="32"/>
        </w:rPr>
        <w:t>四、企业技术创新战略和规划</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1．企业制定未来 5～10 年技术创新发展战略情况，及该战略对企业总体发展目标的支撑情况。</w:t>
      </w:r>
    </w:p>
    <w:p w:rsidR="006061BF" w:rsidRDefault="00F13AF9">
      <w:pPr>
        <w:autoSpaceDE w:val="0"/>
        <w:autoSpaceDN w:val="0"/>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2．企业近期在技术创新方面拟实施的重点举措，包括创新条件建设、创新人才集聚、重点研发项目部署等</w:t>
      </w:r>
      <w:r>
        <w:rPr>
          <w:rFonts w:ascii="仿宋_GB2312" w:eastAsia="仿宋_GB2312" w:hAnsi="仿宋_GB2312" w:cs="仿宋_GB2312" w:hint="eastAsia"/>
          <w:color w:val="000000"/>
          <w:kern w:val="0"/>
          <w:sz w:val="32"/>
          <w:szCs w:val="32"/>
        </w:rPr>
        <w:t>。</w:t>
      </w:r>
    </w:p>
    <w:p w:rsidR="006061BF" w:rsidRDefault="00F13AF9">
      <w:pPr>
        <w:autoSpaceDE w:val="0"/>
        <w:autoSpaceDN w:val="0"/>
        <w:adjustRightInd w:val="0"/>
        <w:snapToGrid w:val="0"/>
        <w:spacing w:line="560" w:lineRule="exact"/>
        <w:ind w:firstLineChars="200" w:firstLine="640"/>
        <w:jc w:val="left"/>
        <w:rPr>
          <w:rFonts w:ascii="黑体" w:eastAsia="黑体" w:hAnsi="仿宋_GB2312" w:cs="仿宋_GB2312"/>
          <w:color w:val="000000"/>
          <w:kern w:val="0"/>
          <w:sz w:val="32"/>
          <w:szCs w:val="32"/>
        </w:rPr>
      </w:pPr>
      <w:r>
        <w:rPr>
          <w:rFonts w:ascii="黑体" w:eastAsia="黑体" w:hAnsi="仿宋_GB2312" w:cs="仿宋_GB2312" w:hint="eastAsia"/>
          <w:bCs/>
          <w:color w:val="000000"/>
          <w:kern w:val="0"/>
          <w:sz w:val="32"/>
          <w:szCs w:val="32"/>
        </w:rPr>
        <w:t>五、</w:t>
      </w:r>
      <w:r>
        <w:rPr>
          <w:rFonts w:ascii="黑体" w:eastAsia="黑体" w:hAnsi="仿宋_GB2312" w:cs="仿宋_GB2312" w:hint="eastAsia"/>
          <w:color w:val="000000"/>
          <w:kern w:val="0"/>
          <w:sz w:val="32"/>
          <w:szCs w:val="32"/>
        </w:rPr>
        <w:t>市（州）、贵安新区、省直管县工业和信息化主管部门或省属企业、中央在黔企业的推荐意见。</w:t>
      </w:r>
    </w:p>
    <w:p w:rsidR="006061BF" w:rsidRDefault="00F13AF9">
      <w:pPr>
        <w:widowControl/>
        <w:jc w:val="left"/>
        <w:rPr>
          <w:rFonts w:ascii="黑体" w:eastAsia="黑体" w:hAnsi="黑体" w:cs="黑体"/>
          <w:sz w:val="28"/>
          <w:szCs w:val="28"/>
        </w:rPr>
      </w:pPr>
      <w:r>
        <w:rPr>
          <w:rFonts w:ascii="黑体" w:eastAsia="黑体" w:hAnsi="黑体" w:cs="黑体"/>
          <w:sz w:val="28"/>
          <w:szCs w:val="28"/>
        </w:rPr>
        <w:br w:type="page"/>
      </w:r>
    </w:p>
    <w:p w:rsidR="006061BF" w:rsidRDefault="00F13AF9">
      <w:pPr>
        <w:adjustRightInd w:val="0"/>
        <w:snapToGrid w:val="0"/>
        <w:rPr>
          <w:rFonts w:ascii="宋体" w:hAnsi="宋体"/>
          <w:sz w:val="28"/>
          <w:szCs w:val="28"/>
        </w:rPr>
      </w:pPr>
      <w:r>
        <w:rPr>
          <w:rFonts w:ascii="黑体" w:eastAsia="黑体" w:hAnsi="黑体" w:cs="黑体" w:hint="eastAsia"/>
          <w:sz w:val="28"/>
          <w:szCs w:val="28"/>
        </w:rPr>
        <w:lastRenderedPageBreak/>
        <w:t xml:space="preserve">附件2： </w:t>
      </w:r>
      <w:r>
        <w:rPr>
          <w:rFonts w:ascii="宋体" w:hAnsi="宋体" w:hint="eastAsia"/>
          <w:sz w:val="28"/>
          <w:szCs w:val="28"/>
        </w:rPr>
        <w:t xml:space="preserve">    </w:t>
      </w:r>
    </w:p>
    <w:p w:rsidR="006061BF" w:rsidRDefault="00F13AF9" w:rsidP="007D47CC">
      <w:pPr>
        <w:adjustRightInd w:val="0"/>
        <w:snapToGrid w:val="0"/>
        <w:spacing w:beforeLines="5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贵州省企业技术中心评价材料</w:t>
      </w:r>
    </w:p>
    <w:p w:rsidR="006061BF" w:rsidRDefault="006061BF">
      <w:pPr>
        <w:widowControl/>
        <w:adjustRightInd w:val="0"/>
        <w:snapToGrid w:val="0"/>
        <w:ind w:firstLineChars="147" w:firstLine="441"/>
        <w:rPr>
          <w:rFonts w:ascii="黑体" w:eastAsia="黑体" w:hAnsi="黑体" w:cs="黑体"/>
          <w:sz w:val="30"/>
          <w:szCs w:val="30"/>
        </w:rPr>
      </w:pPr>
    </w:p>
    <w:p w:rsidR="006061BF" w:rsidRDefault="00F13AF9">
      <w:pPr>
        <w:widowControl/>
        <w:adjustRightInd w:val="0"/>
        <w:snapToGrid w:val="0"/>
        <w:ind w:firstLineChars="147" w:firstLine="412"/>
        <w:rPr>
          <w:rFonts w:ascii="黑体" w:eastAsia="黑体" w:hAnsi="黑体" w:cs="黑体"/>
          <w:sz w:val="28"/>
          <w:szCs w:val="28"/>
        </w:rPr>
      </w:pPr>
      <w:r>
        <w:rPr>
          <w:rFonts w:ascii="黑体" w:eastAsia="黑体" w:hAnsi="黑体" w:cs="黑体" w:hint="eastAsia"/>
          <w:sz w:val="28"/>
          <w:szCs w:val="28"/>
        </w:rPr>
        <w:t>一、企业技术中心评价数据表</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03"/>
        <w:gridCol w:w="3129"/>
        <w:gridCol w:w="1162"/>
        <w:gridCol w:w="386"/>
        <w:gridCol w:w="540"/>
        <w:gridCol w:w="1444"/>
      </w:tblGrid>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企业名称</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所属行业</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通讯地址</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下属企业数量</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主营业务</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统计行业代码</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企业负责人</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联系电话</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技术中心负责人</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联系电话</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联 系 人</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联系电话</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电子邮箱</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联系传真</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26"/>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企业网址</w:t>
            </w:r>
          </w:p>
        </w:tc>
        <w:tc>
          <w:tcPr>
            <w:tcW w:w="3129" w:type="dxa"/>
            <w:vAlign w:val="center"/>
          </w:tcPr>
          <w:p w:rsidR="006061BF" w:rsidRDefault="006061BF">
            <w:pPr>
              <w:adjustRightInd w:val="0"/>
              <w:snapToGrid w:val="0"/>
              <w:jc w:val="center"/>
              <w:rPr>
                <w:rFonts w:ascii="仿宋_GB2312" w:eastAsia="仿宋_GB2312" w:hAnsi="仿宋" w:cs="仿宋"/>
                <w:szCs w:val="21"/>
              </w:rPr>
            </w:pPr>
          </w:p>
        </w:tc>
        <w:tc>
          <w:tcPr>
            <w:tcW w:w="1548"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报告年度</w:t>
            </w:r>
          </w:p>
        </w:tc>
        <w:tc>
          <w:tcPr>
            <w:tcW w:w="1984" w:type="dxa"/>
            <w:gridSpan w:val="2"/>
            <w:vAlign w:val="center"/>
          </w:tcPr>
          <w:p w:rsidR="006061BF" w:rsidRDefault="006061BF">
            <w:pPr>
              <w:adjustRightInd w:val="0"/>
              <w:snapToGrid w:val="0"/>
              <w:rPr>
                <w:rFonts w:ascii="仿宋_GB2312" w:eastAsia="仿宋_GB2312" w:hAnsi="仿宋" w:cs="仿宋"/>
                <w:szCs w:val="21"/>
              </w:rPr>
            </w:pPr>
          </w:p>
        </w:tc>
      </w:tr>
      <w:tr w:rsidR="006061BF">
        <w:trPr>
          <w:trHeight w:hRule="exact" w:val="326"/>
          <w:jc w:val="center"/>
        </w:trPr>
        <w:tc>
          <w:tcPr>
            <w:tcW w:w="2214" w:type="dxa"/>
            <w:gridSpan w:val="2"/>
            <w:vAlign w:val="center"/>
          </w:tcPr>
          <w:p w:rsidR="006061BF" w:rsidRDefault="00F13AF9">
            <w:pPr>
              <w:adjustRightInd w:val="0"/>
              <w:snapToGrid w:val="0"/>
              <w:jc w:val="left"/>
              <w:rPr>
                <w:rFonts w:ascii="仿宋_GB2312" w:eastAsia="仿宋_GB2312" w:hAnsi="仿宋" w:cs="仿宋"/>
                <w:szCs w:val="21"/>
              </w:rPr>
            </w:pPr>
            <w:r>
              <w:rPr>
                <w:rFonts w:ascii="仿宋_GB2312" w:eastAsia="仿宋_GB2312" w:hAnsi="仿宋" w:cs="仿宋" w:hint="eastAsia"/>
                <w:szCs w:val="21"/>
              </w:rPr>
              <w:t>企业类别</w:t>
            </w:r>
          </w:p>
        </w:tc>
        <w:tc>
          <w:tcPr>
            <w:tcW w:w="6661" w:type="dxa"/>
            <w:gridSpan w:val="5"/>
            <w:vAlign w:val="center"/>
          </w:tcPr>
          <w:p w:rsidR="006061BF" w:rsidRDefault="00F13AF9">
            <w:pPr>
              <w:adjustRightInd w:val="0"/>
              <w:snapToGrid w:val="0"/>
              <w:rPr>
                <w:rFonts w:ascii="仿宋_GB2312" w:eastAsia="仿宋_GB2312" w:hAnsi="仿宋" w:cs="仿宋"/>
                <w:szCs w:val="21"/>
              </w:rPr>
            </w:pPr>
            <w:r>
              <w:rPr>
                <w:rFonts w:ascii="仿宋_GB2312" w:eastAsia="仿宋_GB2312" w:hAnsi="仿宋" w:cs="仿宋" w:hint="eastAsia"/>
                <w:szCs w:val="21"/>
              </w:rPr>
              <w:t>专精特新中小企业□  新业态企业□  特色优势产业企业□  其他□</w:t>
            </w: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序号</w:t>
            </w:r>
          </w:p>
        </w:tc>
        <w:tc>
          <w:tcPr>
            <w:tcW w:w="5494" w:type="dxa"/>
            <w:gridSpan w:val="3"/>
            <w:vAlign w:val="center"/>
          </w:tcPr>
          <w:p w:rsidR="006061BF" w:rsidRDefault="006061BF">
            <w:pPr>
              <w:adjustRightInd w:val="0"/>
              <w:snapToGrid w:val="0"/>
              <w:rPr>
                <w:rFonts w:ascii="仿宋_GB2312" w:eastAsia="仿宋_GB2312" w:hAnsi="仿宋" w:cs="仿宋"/>
                <w:szCs w:val="21"/>
              </w:rPr>
            </w:pPr>
          </w:p>
        </w:tc>
        <w:tc>
          <w:tcPr>
            <w:tcW w:w="926" w:type="dxa"/>
            <w:gridSpan w:val="2"/>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单位</w:t>
            </w:r>
          </w:p>
        </w:tc>
        <w:tc>
          <w:tcPr>
            <w:tcW w:w="1444"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数据值</w:t>
            </w: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 xml:space="preserve">主营业务收入 </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2</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研究与实验发展经费支出</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3</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研究与实验发展人数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人</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4</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企业职工总数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人</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5</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技术中心高级专家人数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人</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6</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技术中心硕士以上学位人数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人</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7</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来企业技术中心从事研发工作的外部专家人数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人月</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8</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企业全部研发项目数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项</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6061BF">
            <w:pPr>
              <w:pStyle w:val="Default"/>
              <w:snapToGrid w:val="0"/>
              <w:jc w:val="center"/>
              <w:rPr>
                <w:rFonts w:ascii="仿宋_GB2312" w:eastAsia="仿宋_GB2312" w:hAnsi="仿宋" w:cs="仿宋"/>
                <w:sz w:val="21"/>
                <w:szCs w:val="21"/>
              </w:rPr>
            </w:pP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 xml:space="preserve">     其中：基础研究和应用研究项目数 </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项</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9</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国家级研发平台数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个</w:t>
            </w:r>
          </w:p>
        </w:tc>
        <w:tc>
          <w:tcPr>
            <w:tcW w:w="1444" w:type="dxa"/>
            <w:vAlign w:val="center"/>
          </w:tcPr>
          <w:p w:rsidR="006061BF" w:rsidRDefault="006061BF">
            <w:pPr>
              <w:pStyle w:val="Default"/>
              <w:snapToGrid w:val="0"/>
              <w:jc w:val="both"/>
              <w:rPr>
                <w:rFonts w:ascii="仿宋_GB2312" w:eastAsia="仿宋_GB2312" w:hAnsi="仿宋" w:cs="仿宋"/>
                <w:sz w:val="21"/>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10</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省级研发平台数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个</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11</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通过省级以上认证实验室和检测机构数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个</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12</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企业技术开发仪器设备原值（含软件）</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13</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企业拥有的全部有效发明专利</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件</w:t>
            </w:r>
          </w:p>
        </w:tc>
        <w:tc>
          <w:tcPr>
            <w:tcW w:w="1444" w:type="dxa"/>
            <w:vAlign w:val="center"/>
          </w:tcPr>
          <w:p w:rsidR="006061BF" w:rsidRDefault="006061BF">
            <w:pPr>
              <w:adjustRightInd w:val="0"/>
              <w:snapToGrid w:val="0"/>
              <w:rPr>
                <w:rFonts w:ascii="仿宋_GB2312" w:eastAsia="仿宋_GB2312" w:hAnsi="仿宋" w:cs="仿宋"/>
                <w:color w:val="000000"/>
                <w:kern w:val="0"/>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14</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当年被受理的专利申请数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件</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1011" w:type="dxa"/>
            <w:vAlign w:val="center"/>
          </w:tcPr>
          <w:p w:rsidR="006061BF" w:rsidRDefault="006061BF">
            <w:pPr>
              <w:pStyle w:val="Default"/>
              <w:snapToGrid w:val="0"/>
              <w:jc w:val="center"/>
              <w:rPr>
                <w:rFonts w:ascii="仿宋_GB2312" w:eastAsia="仿宋_GB2312" w:hAnsi="仿宋" w:cs="仿宋"/>
                <w:sz w:val="21"/>
                <w:szCs w:val="21"/>
              </w:rPr>
            </w:pP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 xml:space="preserve">    其中：当年受理的发明专利数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件</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15</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近三年主持和参与制定的地方、国家、国际和行业标准数</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项</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1011" w:type="dxa"/>
            <w:vAlign w:val="center"/>
          </w:tcPr>
          <w:p w:rsidR="006061BF" w:rsidRDefault="00F13AF9">
            <w:pPr>
              <w:adjustRightInd w:val="0"/>
              <w:snapToGrid w:val="0"/>
              <w:jc w:val="center"/>
              <w:rPr>
                <w:rFonts w:ascii="仿宋_GB2312" w:eastAsia="仿宋_GB2312" w:hAnsi="仿宋" w:cs="仿宋"/>
                <w:szCs w:val="21"/>
              </w:rPr>
            </w:pPr>
            <w:r>
              <w:rPr>
                <w:rFonts w:ascii="仿宋_GB2312" w:eastAsia="仿宋_GB2312" w:hAnsi="仿宋" w:cs="仿宋" w:hint="eastAsia"/>
                <w:szCs w:val="21"/>
              </w:rPr>
              <w:t>16</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新产品销售收入</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17</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新产品销售利润</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30"/>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18</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企业利润总额</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万元</w:t>
            </w:r>
          </w:p>
        </w:tc>
        <w:tc>
          <w:tcPr>
            <w:tcW w:w="1444" w:type="dxa"/>
            <w:vAlign w:val="center"/>
          </w:tcPr>
          <w:p w:rsidR="006061BF" w:rsidRDefault="006061BF">
            <w:pPr>
              <w:adjustRightInd w:val="0"/>
              <w:snapToGrid w:val="0"/>
              <w:rPr>
                <w:rFonts w:ascii="仿宋_GB2312" w:eastAsia="仿宋_GB2312" w:hAnsi="仿宋" w:cs="仿宋"/>
                <w:szCs w:val="21"/>
              </w:rPr>
            </w:pPr>
          </w:p>
        </w:tc>
      </w:tr>
      <w:tr w:rsidR="006061BF">
        <w:trPr>
          <w:trHeight w:hRule="exact" w:val="397"/>
          <w:jc w:val="center"/>
        </w:trPr>
        <w:tc>
          <w:tcPr>
            <w:tcW w:w="1011" w:type="dxa"/>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19</w:t>
            </w:r>
          </w:p>
        </w:tc>
        <w:tc>
          <w:tcPr>
            <w:tcW w:w="5494" w:type="dxa"/>
            <w:gridSpan w:val="3"/>
            <w:vAlign w:val="center"/>
          </w:tcPr>
          <w:p w:rsidR="006061BF" w:rsidRDefault="00F13AF9">
            <w:pPr>
              <w:pStyle w:val="Default"/>
              <w:snapToGrid w:val="0"/>
              <w:jc w:val="both"/>
              <w:rPr>
                <w:rFonts w:ascii="仿宋_GB2312" w:eastAsia="仿宋_GB2312" w:hAnsi="仿宋" w:cs="仿宋"/>
                <w:sz w:val="21"/>
                <w:szCs w:val="21"/>
              </w:rPr>
            </w:pPr>
            <w:r>
              <w:rPr>
                <w:rFonts w:ascii="仿宋_GB2312" w:eastAsia="仿宋_GB2312" w:hAnsi="仿宋" w:cs="仿宋" w:hint="eastAsia"/>
                <w:sz w:val="21"/>
                <w:szCs w:val="21"/>
              </w:rPr>
              <w:t>获得省级以上科技奖数目</w:t>
            </w:r>
          </w:p>
        </w:tc>
        <w:tc>
          <w:tcPr>
            <w:tcW w:w="926" w:type="dxa"/>
            <w:gridSpan w:val="2"/>
            <w:vAlign w:val="center"/>
          </w:tcPr>
          <w:p w:rsidR="006061BF" w:rsidRDefault="00F13AF9">
            <w:pPr>
              <w:pStyle w:val="Default"/>
              <w:snapToGrid w:val="0"/>
              <w:jc w:val="center"/>
              <w:rPr>
                <w:rFonts w:ascii="仿宋_GB2312" w:eastAsia="仿宋_GB2312" w:hAnsi="仿宋" w:cs="仿宋"/>
                <w:sz w:val="21"/>
                <w:szCs w:val="21"/>
              </w:rPr>
            </w:pPr>
            <w:r>
              <w:rPr>
                <w:rFonts w:ascii="仿宋_GB2312" w:eastAsia="仿宋_GB2312" w:hAnsi="仿宋" w:cs="仿宋" w:hint="eastAsia"/>
                <w:sz w:val="21"/>
                <w:szCs w:val="21"/>
              </w:rPr>
              <w:t>项</w:t>
            </w:r>
          </w:p>
        </w:tc>
        <w:tc>
          <w:tcPr>
            <w:tcW w:w="1444" w:type="dxa"/>
            <w:vAlign w:val="center"/>
          </w:tcPr>
          <w:p w:rsidR="006061BF" w:rsidRDefault="006061BF">
            <w:pPr>
              <w:adjustRightInd w:val="0"/>
              <w:snapToGrid w:val="0"/>
              <w:rPr>
                <w:rFonts w:ascii="仿宋_GB2312" w:eastAsia="仿宋_GB2312" w:hAnsi="仿宋" w:cs="仿宋"/>
                <w:szCs w:val="21"/>
              </w:rPr>
            </w:pPr>
          </w:p>
        </w:tc>
      </w:tr>
    </w:tbl>
    <w:p w:rsidR="006061BF" w:rsidRDefault="006061BF">
      <w:pPr>
        <w:widowControl/>
        <w:adjustRightInd w:val="0"/>
        <w:snapToGrid w:val="0"/>
        <w:ind w:firstLineChars="196" w:firstLine="413"/>
        <w:rPr>
          <w:rFonts w:hint="eastAsia"/>
          <w:b/>
          <w:bCs/>
        </w:rPr>
      </w:pPr>
    </w:p>
    <w:p w:rsidR="006061BF" w:rsidRDefault="00F13AF9">
      <w:pPr>
        <w:widowControl/>
        <w:adjustRightInd w:val="0"/>
        <w:snapToGrid w:val="0"/>
        <w:spacing w:line="360" w:lineRule="exact"/>
        <w:ind w:firstLineChars="196" w:firstLine="549"/>
        <w:rPr>
          <w:rFonts w:ascii="黑体" w:eastAsia="黑体" w:hAnsi="黑体"/>
          <w:sz w:val="28"/>
          <w:szCs w:val="28"/>
        </w:rPr>
      </w:pPr>
      <w:r>
        <w:rPr>
          <w:rFonts w:ascii="黑体" w:eastAsia="黑体" w:hAnsi="黑体"/>
          <w:bCs/>
          <w:sz w:val="28"/>
          <w:szCs w:val="28"/>
        </w:rPr>
        <w:t>填写说明：</w:t>
      </w:r>
      <w:r>
        <w:rPr>
          <w:rFonts w:ascii="黑体" w:eastAsia="黑体" w:hAnsi="黑体"/>
          <w:sz w:val="28"/>
          <w:szCs w:val="28"/>
        </w:rPr>
        <w:t xml:space="preserve"> </w:t>
      </w:r>
    </w:p>
    <w:p w:rsidR="006061BF" w:rsidRDefault="00F13AF9">
      <w:pPr>
        <w:widowControl/>
        <w:numPr>
          <w:ilvl w:val="0"/>
          <w:numId w:val="4"/>
        </w:numPr>
        <w:adjustRightInd w:val="0"/>
        <w:snapToGrid w:val="0"/>
        <w:spacing w:line="360" w:lineRule="exact"/>
        <w:ind w:firstLineChars="200" w:firstLine="480"/>
        <w:rPr>
          <w:rFonts w:ascii="楷体_GB2312" w:eastAsia="楷体_GB2312" w:hint="eastAsia"/>
          <w:sz w:val="24"/>
        </w:rPr>
      </w:pPr>
      <w:r>
        <w:rPr>
          <w:rFonts w:ascii="楷体_GB2312" w:eastAsia="楷体_GB2312" w:hint="eastAsia"/>
          <w:sz w:val="24"/>
        </w:rPr>
        <w:t>企业名称：参评企业需在此表上加盖公章，填写企业名称需与企业公章 一致。</w:t>
      </w:r>
    </w:p>
    <w:p w:rsidR="006061BF" w:rsidRDefault="00F13AF9">
      <w:pPr>
        <w:widowControl/>
        <w:numPr>
          <w:ilvl w:val="0"/>
          <w:numId w:val="4"/>
        </w:numPr>
        <w:adjustRightInd w:val="0"/>
        <w:snapToGrid w:val="0"/>
        <w:spacing w:line="360" w:lineRule="exact"/>
        <w:ind w:firstLineChars="200" w:firstLine="480"/>
        <w:rPr>
          <w:rFonts w:ascii="楷体_GB2312" w:eastAsia="楷体_GB2312" w:hint="eastAsia"/>
          <w:sz w:val="24"/>
        </w:rPr>
      </w:pPr>
      <w:r>
        <w:rPr>
          <w:rFonts w:ascii="楷体_GB2312" w:eastAsia="楷体_GB2312" w:hint="eastAsia"/>
          <w:sz w:val="24"/>
        </w:rPr>
        <w:lastRenderedPageBreak/>
        <w:t>统计行业代码：对照《国民经济行业分类与代码（GB/T4754-2011）》，填 写企业主营业务对应的统计“大类”（二位码）编号，如主营业务为“农副食品 加工业”的企业，填写“13”。</w:t>
      </w:r>
    </w:p>
    <w:p w:rsidR="006061BF" w:rsidRDefault="00F13AF9">
      <w:pPr>
        <w:widowControl/>
        <w:numPr>
          <w:ilvl w:val="0"/>
          <w:numId w:val="4"/>
        </w:numPr>
        <w:adjustRightInd w:val="0"/>
        <w:snapToGrid w:val="0"/>
        <w:spacing w:line="360" w:lineRule="exact"/>
        <w:ind w:firstLineChars="200" w:firstLine="480"/>
        <w:rPr>
          <w:rFonts w:ascii="楷体_GB2312" w:eastAsia="楷体_GB2312" w:hint="eastAsia"/>
          <w:sz w:val="24"/>
        </w:rPr>
      </w:pPr>
      <w:r>
        <w:rPr>
          <w:rFonts w:ascii="楷体_GB2312" w:eastAsia="楷体_GB2312" w:hint="eastAsia"/>
          <w:sz w:val="24"/>
        </w:rPr>
        <w:t>报告年度：指表中指标统计年度，时间范围从填写评价表的上一年1月1日至12月31日；所有指标的填报时间范围，如无特殊说明，均为报告年度。</w:t>
      </w:r>
    </w:p>
    <w:p w:rsidR="006061BF" w:rsidRDefault="00F13AF9">
      <w:pPr>
        <w:widowControl/>
        <w:adjustRightInd w:val="0"/>
        <w:snapToGrid w:val="0"/>
        <w:spacing w:line="360" w:lineRule="exact"/>
        <w:ind w:firstLineChars="200" w:firstLine="480"/>
        <w:rPr>
          <w:rFonts w:ascii="楷体_GB2312" w:eastAsia="楷体_GB2312" w:hAnsi="黑体" w:cs="黑体"/>
          <w:sz w:val="24"/>
        </w:rPr>
      </w:pPr>
      <w:r>
        <w:rPr>
          <w:rFonts w:ascii="楷体_GB2312" w:eastAsia="楷体_GB2312" w:hint="eastAsia"/>
          <w:sz w:val="24"/>
        </w:rPr>
        <w:t>4．</w:t>
      </w:r>
      <w:r>
        <w:rPr>
          <w:rFonts w:ascii="楷体_GB2312" w:eastAsia="楷体_GB2312" w:hint="eastAsia"/>
          <w:sz w:val="24"/>
          <w:lang w:val="zh-CN"/>
        </w:rPr>
        <w:t>“科技奖”指企业指企业在报告年度、报告年度前一年度获得的由省政府、国务院设立并颁发的“自然科学奖”、“技术发明奖”和“科学技术进步奖”的等奖状</w:t>
      </w:r>
      <w:r>
        <w:rPr>
          <w:rFonts w:ascii="楷体_GB2312" w:eastAsia="楷体_GB2312" w:cs="仿宋_GB2312" w:hint="eastAsia"/>
          <w:bCs/>
          <w:kern w:val="0"/>
          <w:sz w:val="24"/>
        </w:rPr>
        <w:t>。</w:t>
      </w:r>
    </w:p>
    <w:p w:rsidR="006061BF" w:rsidRDefault="00F13AF9" w:rsidP="00F13AF9">
      <w:pPr>
        <w:widowControl/>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 xml:space="preserve">二、需提供的附件及支撑材料 </w:t>
      </w:r>
    </w:p>
    <w:p w:rsidR="006061BF" w:rsidRDefault="00F13AF9" w:rsidP="00F13AF9">
      <w:pPr>
        <w:autoSpaceDE w:val="0"/>
        <w:autoSpaceDN w:val="0"/>
        <w:adjustRightInd w:val="0"/>
        <w:snapToGrid w:val="0"/>
        <w:spacing w:line="560" w:lineRule="exact"/>
        <w:ind w:firstLineChars="225" w:firstLine="720"/>
        <w:rPr>
          <w:rFonts w:ascii="仿宋_GB2312" w:eastAsia="仿宋_GB2312" w:cs="仿宋_GB2312" w:hint="eastAsia"/>
          <w:color w:val="000000"/>
          <w:kern w:val="0"/>
          <w:sz w:val="32"/>
          <w:szCs w:val="32"/>
        </w:rPr>
      </w:pPr>
      <w:r>
        <w:rPr>
          <w:rFonts w:ascii="仿宋_GB2312" w:eastAsia="仿宋_GB2312" w:cs="仿宋_GB2312"/>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cs="仿宋_GB2312" w:hint="eastAsia"/>
          <w:color w:val="000000"/>
          <w:kern w:val="0"/>
          <w:sz w:val="32"/>
          <w:szCs w:val="32"/>
        </w:rPr>
        <w:t>企业对报送资料的真实性、完整性承诺。</w:t>
      </w:r>
    </w:p>
    <w:p w:rsidR="006061BF" w:rsidRDefault="00F13AF9" w:rsidP="00F13AF9">
      <w:pPr>
        <w:autoSpaceDE w:val="0"/>
        <w:autoSpaceDN w:val="0"/>
        <w:adjustRightInd w:val="0"/>
        <w:snapToGrid w:val="0"/>
        <w:spacing w:line="560" w:lineRule="exact"/>
        <w:ind w:firstLineChars="225" w:firstLine="72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cs="仿宋_GB2312" w:hint="eastAsia"/>
          <w:color w:val="000000"/>
          <w:kern w:val="0"/>
          <w:sz w:val="32"/>
          <w:szCs w:val="32"/>
        </w:rPr>
        <w:t>财务报表。主要包括：企业资产负债表、损益表、现金流量表。大型企业集团应将与企业主营业务相关下属企业（包括分公司、子公司和控股公司）的资产负债表、损益表、现金流量表等进行合并填报。</w:t>
      </w:r>
    </w:p>
    <w:p w:rsidR="006061BF" w:rsidRDefault="00F13AF9">
      <w:pPr>
        <w:autoSpaceDE w:val="0"/>
        <w:autoSpaceDN w:val="0"/>
        <w:adjustRightInd w:val="0"/>
        <w:snapToGrid w:val="0"/>
        <w:spacing w:line="560" w:lineRule="exact"/>
        <w:ind w:firstLine="56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cs="仿宋_GB2312" w:hint="eastAsia"/>
          <w:color w:val="000000"/>
          <w:kern w:val="0"/>
          <w:sz w:val="32"/>
          <w:szCs w:val="32"/>
        </w:rPr>
        <w:t>评价指标的必要</w:t>
      </w:r>
      <w:r>
        <w:rPr>
          <w:rFonts w:ascii="仿宋_GB2312" w:eastAsia="仿宋_GB2312" w:cs="仿宋_GB2312" w:hint="eastAsia"/>
          <w:bCs/>
          <w:color w:val="000000"/>
          <w:kern w:val="0"/>
          <w:sz w:val="32"/>
          <w:szCs w:val="32"/>
        </w:rPr>
        <w:t>支撑</w:t>
      </w:r>
      <w:r>
        <w:rPr>
          <w:rFonts w:ascii="仿宋_GB2312" w:eastAsia="仿宋_GB2312" w:cs="仿宋_GB2312" w:hint="eastAsia"/>
          <w:color w:val="000000"/>
          <w:kern w:val="0"/>
          <w:sz w:val="32"/>
          <w:szCs w:val="32"/>
        </w:rPr>
        <w:t>材料。主要包括：研发经费支出明细、研发人员名单、技术中心高级专家、硕士以上学位人员和外部专家、专利明细、主持和参与制定的标准、国家级和省级研发平台、实验室和检测机构、科技奖励、</w:t>
      </w:r>
      <w:r>
        <w:rPr>
          <w:rFonts w:ascii="仿宋_GB2312" w:eastAsia="仿宋_GB2312" w:cs="仿宋_GB2312" w:hint="eastAsia"/>
          <w:bCs/>
          <w:color w:val="000000"/>
          <w:kern w:val="0"/>
          <w:sz w:val="32"/>
          <w:szCs w:val="32"/>
        </w:rPr>
        <w:t>研发项目立项文件、以及“三新”的相关材料、新产品销售收入和利润的明细、研发设备原值明细等</w:t>
      </w:r>
      <w:r>
        <w:rPr>
          <w:rFonts w:ascii="仿宋_GB2312" w:eastAsia="仿宋_GB2312" w:cs="仿宋_GB2312" w:hint="eastAsia"/>
          <w:color w:val="000000"/>
          <w:kern w:val="0"/>
          <w:sz w:val="32"/>
          <w:szCs w:val="32"/>
        </w:rPr>
        <w:t>。</w:t>
      </w:r>
    </w:p>
    <w:p w:rsidR="006061BF" w:rsidRDefault="00F13AF9" w:rsidP="00F13AF9">
      <w:pPr>
        <w:widowControl/>
        <w:adjustRightInd w:val="0"/>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 xml:space="preserve">三、指标解释和填报说明 </w:t>
      </w:r>
    </w:p>
    <w:p w:rsidR="006061BF" w:rsidRDefault="00F13AF9">
      <w:pPr>
        <w:autoSpaceDE w:val="0"/>
        <w:autoSpaceDN w:val="0"/>
        <w:adjustRightInd w:val="0"/>
        <w:snapToGrid w:val="0"/>
        <w:spacing w:line="560" w:lineRule="exact"/>
        <w:ind w:firstLine="560"/>
        <w:rPr>
          <w:rFonts w:ascii="仿宋_GB2312" w:eastAsia="仿宋_GB2312" w:cs="仿宋_GB2312" w:hint="eastAsia"/>
          <w:color w:val="000000"/>
          <w:kern w:val="0"/>
          <w:sz w:val="32"/>
          <w:szCs w:val="32"/>
        </w:rPr>
      </w:pPr>
      <w:r>
        <w:rPr>
          <w:rFonts w:ascii="仿宋_GB2312" w:eastAsia="仿宋_GB2312" w:cs="仿宋_GB2312"/>
          <w:b/>
          <w:kern w:val="0"/>
          <w:sz w:val="32"/>
          <w:szCs w:val="32"/>
        </w:rPr>
        <w:t>1</w:t>
      </w:r>
      <w:r>
        <w:rPr>
          <w:rFonts w:ascii="仿宋_GB2312" w:eastAsia="仿宋_GB2312" w:hAnsi="仿宋_GB2312" w:cs="仿宋_GB2312"/>
          <w:color w:val="000000"/>
          <w:kern w:val="0"/>
          <w:sz w:val="32"/>
          <w:szCs w:val="32"/>
        </w:rPr>
        <w:t>．</w:t>
      </w:r>
      <w:r>
        <w:rPr>
          <w:rFonts w:ascii="仿宋_GB2312" w:eastAsia="仿宋_GB2312" w:cs="仿宋_GB2312" w:hint="eastAsia"/>
          <w:b/>
          <w:kern w:val="0"/>
          <w:sz w:val="32"/>
          <w:szCs w:val="32"/>
        </w:rPr>
        <w:t>主营业务收入：</w:t>
      </w:r>
      <w:r>
        <w:rPr>
          <w:rFonts w:ascii="仿宋_GB2312" w:eastAsia="仿宋_GB2312" w:cs="仿宋_GB2312" w:hint="eastAsia"/>
          <w:color w:val="000000"/>
          <w:kern w:val="0"/>
          <w:sz w:val="32"/>
          <w:szCs w:val="32"/>
        </w:rPr>
        <w:t>指报告年度内企业确认的销售商品、提供劳务等主营业务的收入。根据会计“主营业务收入”科目的期末贷方余额填报。若会计报告和会计报表中未设置该科目，以“营业收入”代替填报。</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hint="eastAsia"/>
          <w:b/>
          <w:kern w:val="0"/>
          <w:sz w:val="32"/>
          <w:szCs w:val="32"/>
        </w:rPr>
        <w:t>2</w:t>
      </w:r>
      <w:r>
        <w:rPr>
          <w:rFonts w:ascii="仿宋_GB2312" w:eastAsia="仿宋_GB2312" w:hAnsi="仿宋_GB2312" w:cs="仿宋_GB2312"/>
          <w:color w:val="000000"/>
          <w:kern w:val="0"/>
          <w:sz w:val="32"/>
          <w:szCs w:val="32"/>
        </w:rPr>
        <w:t>．</w:t>
      </w:r>
      <w:r>
        <w:rPr>
          <w:rFonts w:ascii="仿宋_GB2312" w:eastAsia="仿宋_GB2312" w:cs="仿宋_GB2312"/>
          <w:b/>
          <w:kern w:val="0"/>
          <w:sz w:val="32"/>
          <w:szCs w:val="32"/>
        </w:rPr>
        <w:t>研究与试验发展（简称</w:t>
      </w:r>
      <w:r>
        <w:rPr>
          <w:rFonts w:ascii="仿宋_GB2312" w:eastAsia="仿宋_GB2312" w:cs="仿宋_GB2312"/>
          <w:b/>
          <w:kern w:val="0"/>
          <w:sz w:val="32"/>
          <w:szCs w:val="32"/>
        </w:rPr>
        <w:t>“</w:t>
      </w:r>
      <w:r>
        <w:rPr>
          <w:rFonts w:ascii="仿宋_GB2312" w:eastAsia="仿宋_GB2312" w:cs="仿宋_GB2312"/>
          <w:b/>
          <w:kern w:val="0"/>
          <w:sz w:val="32"/>
          <w:szCs w:val="32"/>
        </w:rPr>
        <w:t>研发</w:t>
      </w:r>
      <w:r>
        <w:rPr>
          <w:rFonts w:ascii="仿宋_GB2312" w:eastAsia="仿宋_GB2312" w:cs="仿宋_GB2312"/>
          <w:b/>
          <w:kern w:val="0"/>
          <w:sz w:val="32"/>
          <w:szCs w:val="32"/>
        </w:rPr>
        <w:t>”</w:t>
      </w:r>
      <w:r>
        <w:rPr>
          <w:rFonts w:ascii="仿宋_GB2312" w:eastAsia="仿宋_GB2312" w:cs="仿宋_GB2312"/>
          <w:b/>
          <w:kern w:val="0"/>
          <w:sz w:val="32"/>
          <w:szCs w:val="32"/>
        </w:rPr>
        <w:t>）经费支出：</w:t>
      </w:r>
      <w:r>
        <w:rPr>
          <w:rFonts w:ascii="仿宋_GB2312" w:eastAsia="仿宋_GB2312" w:cs="仿宋_GB2312" w:hint="eastAsia"/>
          <w:bCs/>
          <w:kern w:val="0"/>
          <w:sz w:val="32"/>
          <w:szCs w:val="32"/>
        </w:rPr>
        <w:t>指报告年度内企业研发活动的经费支出合计，包括企业内部的日常研发经费支出，当年形成用于研发的固定资产支出和委托外单位开展研发</w:t>
      </w:r>
      <w:r>
        <w:rPr>
          <w:rFonts w:ascii="仿宋_GB2312" w:eastAsia="仿宋_GB2312" w:cs="仿宋_GB2312" w:hint="eastAsia"/>
          <w:bCs/>
          <w:kern w:val="0"/>
          <w:sz w:val="32"/>
          <w:szCs w:val="32"/>
        </w:rPr>
        <w:lastRenderedPageBreak/>
        <w:t>的经费支出。</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3．研究与试验发展人员数：</w:t>
      </w:r>
      <w:r>
        <w:rPr>
          <w:rFonts w:ascii="仿宋_GB2312" w:eastAsia="仿宋_GB2312" w:cs="仿宋_GB2312"/>
          <w:bCs/>
          <w:kern w:val="0"/>
          <w:sz w:val="32"/>
          <w:szCs w:val="32"/>
        </w:rPr>
        <w:t>指报告年度内企业内部直接参加研发项目人员，以及研发活动的管理和直接服务的人员。不包括全年累计从事研发活动时间占制度工作时间10%以下的人员。</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4．企业职工总数：</w:t>
      </w:r>
      <w:r>
        <w:rPr>
          <w:rFonts w:ascii="仿宋_GB2312" w:eastAsia="仿宋_GB2312" w:cs="仿宋_GB2312"/>
          <w:bCs/>
          <w:kern w:val="0"/>
          <w:sz w:val="32"/>
          <w:szCs w:val="32"/>
        </w:rPr>
        <w:t>指企业在报告年度内平均拥有的从业人员数，按照统计指标</w:t>
      </w:r>
      <w:r>
        <w:rPr>
          <w:rFonts w:ascii="仿宋_GB2312" w:eastAsia="仿宋_GB2312" w:cs="仿宋_GB2312"/>
          <w:bCs/>
          <w:kern w:val="0"/>
          <w:sz w:val="32"/>
          <w:szCs w:val="32"/>
        </w:rPr>
        <w:t>“</w:t>
      </w:r>
      <w:r>
        <w:rPr>
          <w:rFonts w:ascii="仿宋_GB2312" w:eastAsia="仿宋_GB2312" w:cs="仿宋_GB2312"/>
          <w:bCs/>
          <w:kern w:val="0"/>
          <w:sz w:val="32"/>
          <w:szCs w:val="32"/>
        </w:rPr>
        <w:t>从业人员平均人数</w:t>
      </w:r>
      <w:r>
        <w:rPr>
          <w:rFonts w:ascii="仿宋_GB2312" w:eastAsia="仿宋_GB2312" w:cs="仿宋_GB2312"/>
          <w:bCs/>
          <w:kern w:val="0"/>
          <w:sz w:val="32"/>
          <w:szCs w:val="32"/>
        </w:rPr>
        <w:t>”</w:t>
      </w:r>
      <w:r>
        <w:rPr>
          <w:rFonts w:ascii="仿宋_GB2312" w:eastAsia="仿宋_GB2312" w:cs="仿宋_GB2312"/>
          <w:bCs/>
          <w:kern w:val="0"/>
          <w:sz w:val="32"/>
          <w:szCs w:val="32"/>
        </w:rPr>
        <w:t>计算。</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5．技术中心高级专家人数：</w:t>
      </w:r>
      <w:r>
        <w:rPr>
          <w:rFonts w:ascii="仿宋_GB2312" w:eastAsia="仿宋_GB2312" w:cs="仿宋_GB2312"/>
          <w:bCs/>
          <w:kern w:val="0"/>
          <w:sz w:val="32"/>
          <w:szCs w:val="32"/>
        </w:rPr>
        <w:t>指全职在技术中心工作、获得国家、省、部和计划单列市等政府部门认定的有突出贡献的专家或者享受国家、省、部和计划单列市专项津贴的专家数。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6．技术中心</w:t>
      </w:r>
      <w:r>
        <w:rPr>
          <w:rFonts w:ascii="仿宋_GB2312" w:eastAsia="仿宋_GB2312" w:cs="仿宋_GB2312" w:hint="eastAsia"/>
          <w:b/>
          <w:kern w:val="0"/>
          <w:sz w:val="32"/>
          <w:szCs w:val="32"/>
        </w:rPr>
        <w:t>硕士以上学位</w:t>
      </w:r>
      <w:r>
        <w:rPr>
          <w:rFonts w:ascii="仿宋_GB2312" w:eastAsia="仿宋_GB2312" w:cs="仿宋_GB2312"/>
          <w:b/>
          <w:kern w:val="0"/>
          <w:sz w:val="32"/>
          <w:szCs w:val="32"/>
        </w:rPr>
        <w:t>人数：</w:t>
      </w:r>
      <w:r>
        <w:rPr>
          <w:rFonts w:ascii="仿宋_GB2312" w:eastAsia="仿宋_GB2312" w:cs="仿宋_GB2312"/>
          <w:bCs/>
          <w:kern w:val="0"/>
          <w:sz w:val="32"/>
          <w:szCs w:val="32"/>
        </w:rPr>
        <w:t>指全职在技术中心工作、获得</w:t>
      </w:r>
      <w:r>
        <w:rPr>
          <w:rFonts w:ascii="仿宋_GB2312" w:eastAsia="仿宋_GB2312" w:cs="仿宋_GB2312" w:hint="eastAsia"/>
          <w:bCs/>
          <w:kern w:val="0"/>
          <w:sz w:val="32"/>
          <w:szCs w:val="32"/>
        </w:rPr>
        <w:t>硕士以上</w:t>
      </w:r>
      <w:r>
        <w:rPr>
          <w:rFonts w:ascii="仿宋_GB2312" w:eastAsia="仿宋_GB2312" w:cs="仿宋_GB2312"/>
          <w:bCs/>
          <w:kern w:val="0"/>
          <w:sz w:val="32"/>
          <w:szCs w:val="32"/>
        </w:rPr>
        <w:t>学位的人员数。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7．来技术中心从事研发工作的外部专家人数：</w:t>
      </w:r>
      <w:r>
        <w:rPr>
          <w:rFonts w:ascii="仿宋_GB2312" w:eastAsia="仿宋_GB2312" w:cs="仿宋_GB2312"/>
          <w:bCs/>
          <w:kern w:val="0"/>
          <w:sz w:val="32"/>
          <w:szCs w:val="32"/>
        </w:rPr>
        <w:t>指来技术中心从事研究、技术开发工作的具有较高科技开发能力的海内外专家累计人月。最小统计单位为：0.5人月。</w:t>
      </w:r>
      <w:r>
        <w:rPr>
          <w:rFonts w:ascii="仿宋_GB2312" w:eastAsia="仿宋_GB2312" w:cs="仿宋_GB2312" w:hint="eastAsia"/>
          <w:bCs/>
          <w:kern w:val="0"/>
          <w:sz w:val="32"/>
          <w:szCs w:val="32"/>
        </w:rPr>
        <w:t>（</w:t>
      </w:r>
      <w:r>
        <w:rPr>
          <w:rFonts w:ascii="仿宋_GB2312" w:eastAsia="仿宋_GB2312" w:cs="仿宋_GB2312"/>
          <w:bCs/>
          <w:kern w:val="0"/>
          <w:sz w:val="32"/>
          <w:szCs w:val="32"/>
        </w:rPr>
        <w:t>人月是工作量的计量单位，是项目所有参与者工作时长的累计，是最为方便计算成本的数据。是项目管理中常用的概念。如一个项目前期投入3个人工作2个月，中间2人工作0.5月，后期1人（0.33兼职）工作3个月，那么工作量的计算就是：3人*2月+2人*0.5月+0.33*3月＝8人月。</w:t>
      </w:r>
      <w:r>
        <w:rPr>
          <w:rFonts w:ascii="仿宋_GB2312" w:eastAsia="仿宋_GB2312" w:cs="仿宋_GB2312" w:hint="eastAsia"/>
          <w:bCs/>
          <w:kern w:val="0"/>
          <w:sz w:val="32"/>
          <w:szCs w:val="32"/>
        </w:rPr>
        <w:t>）</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8．企业全部研发项目数：</w:t>
      </w:r>
      <w:r>
        <w:rPr>
          <w:rFonts w:ascii="仿宋_GB2312" w:eastAsia="仿宋_GB2312" w:cs="仿宋_GB2312"/>
          <w:bCs/>
          <w:kern w:val="0"/>
          <w:sz w:val="32"/>
          <w:szCs w:val="32"/>
        </w:rPr>
        <w:t>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w:t>
      </w:r>
      <w:r>
        <w:rPr>
          <w:rFonts w:ascii="仿宋_GB2312" w:eastAsia="仿宋_GB2312" w:cs="仿宋_GB2312"/>
          <w:bCs/>
          <w:kern w:val="0"/>
          <w:sz w:val="32"/>
          <w:szCs w:val="32"/>
        </w:rPr>
        <w:lastRenderedPageBreak/>
        <w:t>务开发项目数与基础研究项目数之和。</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9．基础研究和应用研究项目数：</w:t>
      </w:r>
      <w:r>
        <w:rPr>
          <w:rFonts w:ascii="仿宋_GB2312" w:eastAsia="仿宋_GB2312" w:cs="仿宋_GB2312"/>
          <w:bCs/>
          <w:kern w:val="0"/>
          <w:sz w:val="32"/>
          <w:szCs w:val="32"/>
        </w:rPr>
        <w:t>指企业全部研发项目中主要以科学原理的探索与发现、技术原理的研究为目标的项目数。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10．</w:t>
      </w:r>
      <w:r>
        <w:rPr>
          <w:rFonts w:ascii="仿宋_GB2312" w:eastAsia="仿宋_GB2312" w:cs="仿宋_GB2312" w:hint="eastAsia"/>
          <w:b/>
          <w:kern w:val="0"/>
          <w:sz w:val="32"/>
          <w:szCs w:val="32"/>
        </w:rPr>
        <w:t>国家</w:t>
      </w:r>
      <w:r>
        <w:rPr>
          <w:rFonts w:ascii="仿宋_GB2312" w:eastAsia="仿宋_GB2312" w:cs="仿宋_GB2312"/>
          <w:b/>
          <w:kern w:val="0"/>
          <w:sz w:val="32"/>
          <w:szCs w:val="32"/>
        </w:rPr>
        <w:t>级研发平台数：</w:t>
      </w:r>
      <w:r>
        <w:rPr>
          <w:rFonts w:ascii="仿宋_GB2312" w:eastAsia="仿宋_GB2312" w:cs="仿宋_GB2312"/>
          <w:bCs/>
          <w:kern w:val="0"/>
          <w:sz w:val="32"/>
          <w:szCs w:val="32"/>
        </w:rPr>
        <w:t>指企业作为项目法人承担建设、</w:t>
      </w:r>
      <w:r>
        <w:rPr>
          <w:rFonts w:ascii="仿宋_GB2312" w:eastAsia="仿宋_GB2312" w:cs="仿宋_GB2312" w:hint="eastAsia"/>
          <w:bCs/>
          <w:kern w:val="0"/>
          <w:sz w:val="32"/>
          <w:szCs w:val="32"/>
        </w:rPr>
        <w:t>国家</w:t>
      </w:r>
      <w:r>
        <w:rPr>
          <w:rFonts w:ascii="仿宋_GB2312" w:eastAsia="仿宋_GB2312" w:cs="仿宋_GB2312"/>
          <w:bCs/>
          <w:kern w:val="0"/>
          <w:sz w:val="32"/>
          <w:szCs w:val="32"/>
        </w:rPr>
        <w:t>有关部门归口管理且已获得批复的科技类、研究开发类平台数。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11．</w:t>
      </w:r>
      <w:r>
        <w:rPr>
          <w:rFonts w:ascii="仿宋_GB2312" w:eastAsia="仿宋_GB2312" w:cs="仿宋_GB2312" w:hint="eastAsia"/>
          <w:b/>
          <w:kern w:val="0"/>
          <w:sz w:val="32"/>
          <w:szCs w:val="32"/>
        </w:rPr>
        <w:t>省级</w:t>
      </w:r>
      <w:r>
        <w:rPr>
          <w:rFonts w:ascii="仿宋_GB2312" w:eastAsia="仿宋_GB2312" w:cs="仿宋_GB2312"/>
          <w:b/>
          <w:kern w:val="0"/>
          <w:sz w:val="32"/>
          <w:szCs w:val="32"/>
        </w:rPr>
        <w:t>研发平台数：</w:t>
      </w:r>
      <w:r>
        <w:rPr>
          <w:rFonts w:ascii="仿宋_GB2312" w:eastAsia="仿宋_GB2312" w:cs="仿宋_GB2312"/>
          <w:bCs/>
          <w:kern w:val="0"/>
          <w:sz w:val="32"/>
          <w:szCs w:val="32"/>
        </w:rPr>
        <w:t>指企业作为项目法人承担建设、</w:t>
      </w:r>
      <w:r>
        <w:rPr>
          <w:rFonts w:ascii="仿宋_GB2312" w:eastAsia="仿宋_GB2312" w:cs="仿宋_GB2312" w:hint="eastAsia"/>
          <w:bCs/>
          <w:kern w:val="0"/>
          <w:sz w:val="32"/>
          <w:szCs w:val="32"/>
        </w:rPr>
        <w:t>省级部门</w:t>
      </w:r>
      <w:r>
        <w:rPr>
          <w:rFonts w:ascii="仿宋_GB2312" w:eastAsia="仿宋_GB2312" w:cs="仿宋_GB2312"/>
          <w:bCs/>
          <w:kern w:val="0"/>
          <w:sz w:val="32"/>
          <w:szCs w:val="32"/>
        </w:rPr>
        <w:t>国家有关部门归口管理且已经获得批复的科技类、研究开发类平台数。</w:t>
      </w:r>
    </w:p>
    <w:p w:rsidR="006061BF" w:rsidRDefault="00F13AF9" w:rsidP="00F13AF9">
      <w:pPr>
        <w:autoSpaceDE w:val="0"/>
        <w:autoSpaceDN w:val="0"/>
        <w:adjustRightInd w:val="0"/>
        <w:snapToGrid w:val="0"/>
        <w:spacing w:line="560" w:lineRule="exact"/>
        <w:ind w:firstLineChars="200" w:firstLine="643"/>
        <w:rPr>
          <w:rFonts w:ascii="仿宋_GB2312" w:eastAsia="仿宋_GB2312" w:cs="仿宋_GB2312" w:hint="eastAsia"/>
          <w:bCs/>
          <w:kern w:val="0"/>
          <w:sz w:val="32"/>
          <w:szCs w:val="32"/>
        </w:rPr>
      </w:pPr>
      <w:r>
        <w:rPr>
          <w:rFonts w:ascii="仿宋_GB2312" w:eastAsia="仿宋_GB2312" w:cs="仿宋_GB2312"/>
          <w:b/>
          <w:kern w:val="0"/>
          <w:sz w:val="32"/>
          <w:szCs w:val="32"/>
        </w:rPr>
        <w:t>12．通过</w:t>
      </w:r>
      <w:r>
        <w:rPr>
          <w:rFonts w:ascii="仿宋_GB2312" w:eastAsia="仿宋_GB2312" w:cs="仿宋_GB2312" w:hint="eastAsia"/>
          <w:b/>
          <w:kern w:val="0"/>
          <w:sz w:val="32"/>
          <w:szCs w:val="32"/>
        </w:rPr>
        <w:t>省级以上</w:t>
      </w:r>
      <w:r>
        <w:rPr>
          <w:rFonts w:ascii="仿宋_GB2312" w:eastAsia="仿宋_GB2312" w:cs="仿宋_GB2312"/>
          <w:b/>
          <w:kern w:val="0"/>
          <w:sz w:val="32"/>
          <w:szCs w:val="32"/>
        </w:rPr>
        <w:t>认证的实验室和检测机构数</w:t>
      </w:r>
      <w:r>
        <w:rPr>
          <w:rFonts w:ascii="仿宋_GB2312" w:eastAsia="仿宋_GB2312" w:cs="仿宋_GB2312"/>
          <w:bCs/>
          <w:kern w:val="0"/>
          <w:sz w:val="32"/>
          <w:szCs w:val="32"/>
        </w:rPr>
        <w:t>：</w:t>
      </w:r>
      <w:r>
        <w:rPr>
          <w:rFonts w:ascii="仿宋_GB2312" w:eastAsia="仿宋_GB2312" w:cs="仿宋_GB2312" w:hint="eastAsia"/>
          <w:kern w:val="0"/>
          <w:sz w:val="32"/>
          <w:szCs w:val="32"/>
        </w:rPr>
        <w:t>指经省级以上相关部门批准成立的重点实验室、企业技术中心、工程技术研究中心、工程实验室、工程研究中心及省级以上部门和国际组织认定认证的、仍在有效期内的实验室、检验检测机构数。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13．企业技术开发仪器设备原值：</w:t>
      </w:r>
      <w:r>
        <w:rPr>
          <w:rFonts w:ascii="仿宋_GB2312" w:eastAsia="仿宋_GB2312" w:cs="仿宋_GB2312"/>
          <w:bCs/>
          <w:kern w:val="0"/>
          <w:sz w:val="32"/>
          <w:szCs w:val="32"/>
        </w:rPr>
        <w:t>指报告年度末企业用于研发的固定资产中的仪器和设备原价。其中，设备包括用于研发活动的各类机器和设备、试验测量仪器、运输工具、工装工具等。</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14．</w:t>
      </w:r>
      <w:r>
        <w:rPr>
          <w:rFonts w:ascii="仿宋_GB2312" w:eastAsia="仿宋_GB2312" w:cs="仿宋_GB2312"/>
          <w:b/>
          <w:color w:val="000000"/>
          <w:kern w:val="0"/>
          <w:sz w:val="32"/>
          <w:szCs w:val="32"/>
        </w:rPr>
        <w:t>企业拥有的全部有效发明专利数：</w:t>
      </w:r>
      <w:r>
        <w:rPr>
          <w:rFonts w:ascii="仿宋_GB2312" w:eastAsia="仿宋_GB2312" w:cs="仿宋_GB2312"/>
          <w:bCs/>
          <w:color w:val="000000"/>
          <w:kern w:val="0"/>
          <w:sz w:val="32"/>
          <w:szCs w:val="32"/>
        </w:rPr>
        <w:t>指报告年度末企业作为专利权人拥有的</w:t>
      </w:r>
      <w:r>
        <w:rPr>
          <w:rFonts w:ascii="仿宋_GB2312" w:eastAsia="仿宋_GB2312" w:cs="仿宋_GB2312" w:hint="eastAsia"/>
          <w:bCs/>
          <w:color w:val="000000"/>
          <w:kern w:val="0"/>
          <w:sz w:val="32"/>
          <w:szCs w:val="32"/>
        </w:rPr>
        <w:t>、与企业主营业务高度关联的</w:t>
      </w:r>
      <w:r>
        <w:rPr>
          <w:rFonts w:ascii="仿宋_GB2312" w:eastAsia="仿宋_GB2312" w:cs="仿宋_GB2312"/>
          <w:bCs/>
          <w:color w:val="000000"/>
          <w:kern w:val="0"/>
          <w:sz w:val="32"/>
          <w:szCs w:val="32"/>
        </w:rPr>
        <w:t>、经国内外知识产权行政部门授予且在有效期内的</w:t>
      </w:r>
      <w:r>
        <w:rPr>
          <w:rFonts w:ascii="宋体" w:hAnsi="宋体" w:cs="宋体" w:hint="eastAsia"/>
          <w:bCs/>
          <w:color w:val="000000"/>
          <w:sz w:val="32"/>
          <w:szCs w:val="32"/>
        </w:rPr>
        <w:t>发明专利</w:t>
      </w:r>
      <w:r>
        <w:rPr>
          <w:rFonts w:ascii="仿宋_GB2312" w:eastAsia="仿宋_GB2312" w:cs="仿宋_GB2312" w:hint="eastAsia"/>
          <w:bCs/>
          <w:color w:val="000000"/>
          <w:kern w:val="0"/>
          <w:sz w:val="32"/>
          <w:szCs w:val="32"/>
        </w:rPr>
        <w:t>（含国防专利）、植物新品种、国家级农作物品种、国家新药、国家一级中药保护品种、集成电路布图设计专有权、国家级工法件数。除以上外，或</w:t>
      </w:r>
      <w:r>
        <w:rPr>
          <w:rFonts w:ascii="仿宋_GB2312" w:eastAsia="仿宋_GB2312" w:cs="仿宋_GB2312" w:hint="eastAsia"/>
          <w:bCs/>
          <w:color w:val="000000"/>
          <w:kern w:val="0"/>
          <w:sz w:val="32"/>
          <w:szCs w:val="32"/>
          <w:lang w:val="zh-CN"/>
        </w:rPr>
        <w:t>拥有5件及以上实用新型（必须与企业主营业务高度关</w:t>
      </w:r>
      <w:r>
        <w:rPr>
          <w:rFonts w:ascii="仿宋_GB2312" w:eastAsia="仿宋_GB2312" w:cs="仿宋_GB2312" w:hint="eastAsia"/>
          <w:bCs/>
          <w:color w:val="000000"/>
          <w:kern w:val="0"/>
          <w:sz w:val="32"/>
          <w:szCs w:val="32"/>
        </w:rPr>
        <w:t>联的</w:t>
      </w:r>
      <w:r>
        <w:rPr>
          <w:rFonts w:ascii="仿宋_GB2312" w:eastAsia="仿宋_GB2312" w:cs="仿宋_GB2312" w:hint="eastAsia"/>
          <w:bCs/>
          <w:color w:val="000000"/>
          <w:kern w:val="0"/>
          <w:sz w:val="32"/>
          <w:szCs w:val="32"/>
          <w:lang w:val="zh-CN"/>
        </w:rPr>
        <w:t>）等同为一件发明专利、或软件企业通过CMMI-3及以上等级认证。</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15．当年被受理的专利申请数：</w:t>
      </w:r>
      <w:r>
        <w:rPr>
          <w:rFonts w:ascii="仿宋_GB2312" w:eastAsia="仿宋_GB2312" w:cs="仿宋_GB2312"/>
          <w:bCs/>
          <w:kern w:val="0"/>
          <w:sz w:val="32"/>
          <w:szCs w:val="32"/>
        </w:rPr>
        <w:t>指报告年度内企业向专利行政部门提出专利申请并被受理的专利件数。</w:t>
      </w:r>
      <w:r>
        <w:rPr>
          <w:rFonts w:ascii="仿宋_GB2312" w:eastAsia="仿宋_GB2312" w:cs="仿宋_GB2312" w:hint="eastAsia"/>
          <w:bCs/>
          <w:kern w:val="0"/>
          <w:sz w:val="32"/>
          <w:szCs w:val="32"/>
        </w:rPr>
        <w:t>包含：发明专利（含</w:t>
      </w:r>
      <w:r>
        <w:rPr>
          <w:rFonts w:ascii="仿宋_GB2312" w:eastAsia="仿宋_GB2312" w:cs="仿宋_GB2312" w:hint="eastAsia"/>
          <w:bCs/>
          <w:kern w:val="0"/>
          <w:sz w:val="32"/>
          <w:szCs w:val="32"/>
        </w:rPr>
        <w:lastRenderedPageBreak/>
        <w:t>国防专利）、植物新品种、国家级农作物品种、国家新药、国家一级中药保护品种、集成电路布图设计专有权、国家级工法、实用新型专利、外观设计专利、软件著作权、省级工法等（不含商标）。</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16．当年被受理的发明专利申请数</w:t>
      </w:r>
      <w:r>
        <w:rPr>
          <w:rFonts w:ascii="仿宋_GB2312" w:eastAsia="仿宋_GB2312" w:cs="仿宋_GB2312"/>
          <w:bCs/>
          <w:kern w:val="0"/>
          <w:sz w:val="32"/>
          <w:szCs w:val="32"/>
        </w:rPr>
        <w:t>：指报告年度内企业向专利行政部门提出</w:t>
      </w:r>
      <w:bookmarkStart w:id="1" w:name="OLE_LINK13"/>
      <w:bookmarkStart w:id="2" w:name="OLE_LINK14"/>
      <w:r>
        <w:rPr>
          <w:rFonts w:ascii="仿宋_GB2312" w:eastAsia="仿宋_GB2312" w:cs="仿宋_GB2312"/>
          <w:bCs/>
          <w:kern w:val="0"/>
          <w:sz w:val="32"/>
          <w:szCs w:val="32"/>
        </w:rPr>
        <w:t>发明专利</w:t>
      </w:r>
      <w:bookmarkEnd w:id="1"/>
      <w:bookmarkEnd w:id="2"/>
      <w:r>
        <w:rPr>
          <w:rFonts w:ascii="仿宋_GB2312" w:eastAsia="仿宋_GB2312" w:cs="仿宋_GB2312" w:hint="eastAsia"/>
          <w:bCs/>
          <w:kern w:val="0"/>
          <w:sz w:val="32"/>
          <w:szCs w:val="32"/>
        </w:rPr>
        <w:t>（含国防专利）、植物新品种、国家级农作物品种、国家新药、国家一级中药保护品种、集成电路布图设计专有权、国家级工法</w:t>
      </w:r>
      <w:r>
        <w:rPr>
          <w:rFonts w:ascii="仿宋_GB2312" w:eastAsia="仿宋_GB2312" w:cs="仿宋_GB2312"/>
          <w:bCs/>
          <w:kern w:val="0"/>
          <w:sz w:val="32"/>
          <w:szCs w:val="32"/>
        </w:rPr>
        <w:t>申请并被受理的专利件数。</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17．最近三年主持和参加制定的</w:t>
      </w:r>
      <w:r>
        <w:rPr>
          <w:rFonts w:ascii="仿宋_GB2312" w:eastAsia="仿宋_GB2312" w:cs="仿宋_GB2312" w:hint="eastAsia"/>
          <w:b/>
          <w:kern w:val="0"/>
          <w:sz w:val="32"/>
          <w:szCs w:val="32"/>
        </w:rPr>
        <w:t>国家</w:t>
      </w:r>
      <w:r>
        <w:rPr>
          <w:rFonts w:ascii="仿宋_GB2312" w:eastAsia="仿宋_GB2312" w:cs="仿宋_GB2312"/>
          <w:b/>
          <w:kern w:val="0"/>
          <w:sz w:val="32"/>
          <w:szCs w:val="32"/>
        </w:rPr>
        <w:t>、</w:t>
      </w:r>
      <w:r>
        <w:rPr>
          <w:rFonts w:ascii="仿宋_GB2312" w:eastAsia="仿宋_GB2312" w:cs="仿宋_GB2312" w:hint="eastAsia"/>
          <w:b/>
          <w:kern w:val="0"/>
          <w:sz w:val="32"/>
          <w:szCs w:val="32"/>
        </w:rPr>
        <w:t>国际</w:t>
      </w:r>
      <w:r>
        <w:rPr>
          <w:rFonts w:ascii="仿宋_GB2312" w:eastAsia="仿宋_GB2312" w:cs="仿宋_GB2312"/>
          <w:b/>
          <w:kern w:val="0"/>
          <w:sz w:val="32"/>
          <w:szCs w:val="32"/>
        </w:rPr>
        <w:t>和行业标准数：</w:t>
      </w:r>
      <w:r>
        <w:rPr>
          <w:rFonts w:ascii="仿宋_GB2312" w:eastAsia="仿宋_GB2312" w:cs="仿宋_GB2312"/>
          <w:bCs/>
          <w:kern w:val="0"/>
          <w:sz w:val="32"/>
          <w:szCs w:val="32"/>
        </w:rPr>
        <w:t>指企业在报告年度、报告年度前一年、报告年度前二年主持或参加制定，目前仍有效执行的国家、国际、行业标准的数量。</w:t>
      </w:r>
    </w:p>
    <w:p w:rsidR="006061BF" w:rsidRDefault="00F13AF9">
      <w:pPr>
        <w:autoSpaceDE w:val="0"/>
        <w:autoSpaceDN w:val="0"/>
        <w:adjustRightInd w:val="0"/>
        <w:snapToGrid w:val="0"/>
        <w:spacing w:line="560" w:lineRule="exact"/>
        <w:ind w:firstLine="560"/>
        <w:rPr>
          <w:rFonts w:ascii="仿宋_GB2312" w:eastAsia="仿宋_GB2312" w:cs="仿宋_GB2312" w:hint="eastAsia"/>
          <w:bCs/>
          <w:kern w:val="0"/>
          <w:sz w:val="32"/>
          <w:szCs w:val="32"/>
        </w:rPr>
      </w:pPr>
      <w:r>
        <w:rPr>
          <w:rFonts w:ascii="仿宋_GB2312" w:eastAsia="仿宋_GB2312" w:cs="仿宋_GB2312"/>
          <w:b/>
          <w:kern w:val="0"/>
          <w:sz w:val="32"/>
          <w:szCs w:val="32"/>
        </w:rPr>
        <w:t>18．新产品销售收入：</w:t>
      </w:r>
      <w:r>
        <w:rPr>
          <w:rFonts w:ascii="仿宋_GB2312" w:eastAsia="仿宋_GB2312" w:cs="仿宋_GB2312" w:hint="eastAsia"/>
          <w:bCs/>
          <w:kern w:val="0"/>
          <w:sz w:val="32"/>
          <w:szCs w:val="32"/>
        </w:rPr>
        <w:t>新产品（服务）销售收入</w:t>
      </w:r>
      <w:r>
        <w:rPr>
          <w:rFonts w:ascii="仿宋_GB2312" w:eastAsia="仿宋_GB2312" w:cs="仿宋_GB2312" w:hint="eastAsia"/>
          <w:kern w:val="0"/>
          <w:sz w:val="32"/>
          <w:szCs w:val="32"/>
        </w:rPr>
        <w:t>指采用新技术、新材料、新工艺、新创意使产品（服务）</w:t>
      </w:r>
      <w:r>
        <w:rPr>
          <w:rFonts w:ascii="仿宋_GB2312" w:eastAsia="仿宋_GB2312" w:cs="仿宋_GB2312" w:hint="eastAsia"/>
          <w:color w:val="000000"/>
          <w:kern w:val="0"/>
          <w:sz w:val="32"/>
          <w:szCs w:val="32"/>
        </w:rPr>
        <w:t>在结构、功能、品质、内容等方面具有新突破和改进，或实现节能降耗、降本增效、满足市场需求的新产品（服务）实现的销售收入。</w:t>
      </w:r>
      <w:r>
        <w:rPr>
          <w:rFonts w:ascii="仿宋_GB2312" w:eastAsia="仿宋_GB2312" w:cs="仿宋_GB2312"/>
          <w:bCs/>
          <w:color w:val="000000"/>
          <w:kern w:val="0"/>
          <w:sz w:val="32"/>
          <w:szCs w:val="32"/>
        </w:rPr>
        <w:t>新产品既包括经有关部门</w:t>
      </w:r>
      <w:r>
        <w:rPr>
          <w:rFonts w:ascii="仿宋_GB2312" w:eastAsia="仿宋_GB2312" w:cs="仿宋_GB2312" w:hint="eastAsia"/>
          <w:bCs/>
          <w:color w:val="000000"/>
          <w:kern w:val="0"/>
          <w:sz w:val="32"/>
          <w:szCs w:val="32"/>
        </w:rPr>
        <w:t>鉴定</w:t>
      </w:r>
      <w:r>
        <w:rPr>
          <w:rFonts w:ascii="仿宋_GB2312" w:eastAsia="仿宋_GB2312" w:cs="仿宋_GB2312"/>
          <w:bCs/>
          <w:color w:val="000000"/>
          <w:kern w:val="0"/>
          <w:sz w:val="32"/>
          <w:szCs w:val="32"/>
        </w:rPr>
        <w:t>并在</w:t>
      </w:r>
      <w:r>
        <w:rPr>
          <w:rFonts w:ascii="仿宋_GB2312" w:eastAsia="仿宋_GB2312" w:cs="仿宋_GB2312"/>
          <w:bCs/>
          <w:kern w:val="0"/>
          <w:sz w:val="32"/>
          <w:szCs w:val="32"/>
        </w:rPr>
        <w:t>有效期内的新产品，也包括企业自行研制开发</w:t>
      </w:r>
      <w:r>
        <w:rPr>
          <w:rFonts w:ascii="仿宋_GB2312" w:eastAsia="仿宋_GB2312" w:cs="仿宋_GB2312" w:hint="eastAsia"/>
          <w:bCs/>
          <w:kern w:val="0"/>
          <w:sz w:val="32"/>
          <w:szCs w:val="32"/>
        </w:rPr>
        <w:t>的</w:t>
      </w:r>
      <w:r>
        <w:rPr>
          <w:rFonts w:ascii="仿宋_GB2312" w:eastAsia="仿宋_GB2312" w:cs="仿宋_GB2312"/>
          <w:bCs/>
          <w:kern w:val="0"/>
          <w:sz w:val="32"/>
          <w:szCs w:val="32"/>
        </w:rPr>
        <w:t>新产品。</w:t>
      </w:r>
    </w:p>
    <w:p w:rsidR="006061BF" w:rsidRDefault="00F13AF9" w:rsidP="00F13AF9">
      <w:pPr>
        <w:autoSpaceDE w:val="0"/>
        <w:autoSpaceDN w:val="0"/>
        <w:adjustRightInd w:val="0"/>
        <w:snapToGrid w:val="0"/>
        <w:spacing w:line="560" w:lineRule="exact"/>
        <w:ind w:firstLineChars="196" w:firstLine="630"/>
        <w:rPr>
          <w:rFonts w:ascii="仿宋_GB2312" w:eastAsia="仿宋_GB2312" w:cs="仿宋_GB2312" w:hint="eastAsia"/>
          <w:bCs/>
          <w:kern w:val="0"/>
          <w:sz w:val="32"/>
          <w:szCs w:val="32"/>
        </w:rPr>
      </w:pPr>
      <w:r>
        <w:rPr>
          <w:rFonts w:ascii="仿宋_GB2312" w:eastAsia="仿宋_GB2312" w:cs="仿宋_GB2312" w:hint="eastAsia"/>
          <w:b/>
          <w:kern w:val="0"/>
          <w:sz w:val="32"/>
          <w:szCs w:val="32"/>
        </w:rPr>
        <w:t>19.</w:t>
      </w:r>
      <w:r>
        <w:rPr>
          <w:rFonts w:ascii="仿宋_GB2312" w:eastAsia="仿宋_GB2312" w:cs="仿宋_GB2312"/>
          <w:b/>
          <w:kern w:val="0"/>
          <w:sz w:val="32"/>
          <w:szCs w:val="32"/>
        </w:rPr>
        <w:t>新产品销售利润：</w:t>
      </w:r>
      <w:r>
        <w:rPr>
          <w:rFonts w:ascii="仿宋_GB2312" w:eastAsia="仿宋_GB2312" w:cs="仿宋_GB2312"/>
          <w:bCs/>
          <w:kern w:val="0"/>
          <w:sz w:val="32"/>
          <w:szCs w:val="32"/>
        </w:rPr>
        <w:t>指报告年度内企业通过销售新产品实现的销售（营业）利润。</w:t>
      </w:r>
    </w:p>
    <w:p w:rsidR="006061BF" w:rsidRDefault="00F13AF9" w:rsidP="00F13AF9">
      <w:pPr>
        <w:autoSpaceDE w:val="0"/>
        <w:autoSpaceDN w:val="0"/>
        <w:adjustRightInd w:val="0"/>
        <w:snapToGrid w:val="0"/>
        <w:spacing w:line="560" w:lineRule="exact"/>
        <w:ind w:firstLineChars="196" w:firstLine="630"/>
        <w:rPr>
          <w:rFonts w:ascii="仿宋_GB2312" w:eastAsia="仿宋_GB2312" w:cs="仿宋_GB2312" w:hint="eastAsia"/>
          <w:bCs/>
          <w:kern w:val="0"/>
          <w:sz w:val="32"/>
          <w:szCs w:val="32"/>
        </w:rPr>
      </w:pPr>
      <w:r>
        <w:rPr>
          <w:rFonts w:ascii="仿宋_GB2312" w:eastAsia="仿宋_GB2312" w:cs="仿宋_GB2312" w:hint="eastAsia"/>
          <w:b/>
          <w:kern w:val="0"/>
          <w:sz w:val="32"/>
          <w:szCs w:val="32"/>
        </w:rPr>
        <w:t>20.</w:t>
      </w:r>
      <w:r>
        <w:rPr>
          <w:rFonts w:ascii="仿宋_GB2312" w:eastAsia="仿宋_GB2312" w:cs="仿宋_GB2312"/>
          <w:b/>
          <w:kern w:val="0"/>
          <w:sz w:val="32"/>
          <w:szCs w:val="32"/>
        </w:rPr>
        <w:t>利润总额：</w:t>
      </w:r>
      <w:r>
        <w:rPr>
          <w:rFonts w:ascii="仿宋_GB2312" w:eastAsia="仿宋_GB2312" w:cs="仿宋_GB2312"/>
          <w:bCs/>
          <w:kern w:val="0"/>
          <w:sz w:val="32"/>
          <w:szCs w:val="32"/>
        </w:rPr>
        <w:t>指报告年度企业生产经营过程中各种收入扣除各种耗费后的盈余，反映企业在报告期内实现的盈亏总额。</w:t>
      </w:r>
    </w:p>
    <w:p w:rsidR="006061BF" w:rsidRDefault="00F13AF9" w:rsidP="00F13AF9">
      <w:pPr>
        <w:autoSpaceDE w:val="0"/>
        <w:autoSpaceDN w:val="0"/>
        <w:adjustRightInd w:val="0"/>
        <w:snapToGrid w:val="0"/>
        <w:spacing w:line="560" w:lineRule="exact"/>
        <w:ind w:firstLineChars="200" w:firstLine="643"/>
        <w:rPr>
          <w:rFonts w:ascii="黑体" w:eastAsia="黑体" w:hAnsi="黑体" w:cs="黑体"/>
          <w:sz w:val="32"/>
          <w:szCs w:val="32"/>
        </w:rPr>
      </w:pPr>
      <w:r>
        <w:rPr>
          <w:rFonts w:ascii="仿宋_GB2312" w:eastAsia="仿宋_GB2312" w:cs="仿宋_GB2312"/>
          <w:b/>
          <w:kern w:val="0"/>
          <w:sz w:val="32"/>
          <w:szCs w:val="32"/>
        </w:rPr>
        <w:t>21．获</w:t>
      </w:r>
      <w:r>
        <w:rPr>
          <w:rFonts w:ascii="仿宋_GB2312" w:eastAsia="仿宋_GB2312" w:cs="仿宋_GB2312" w:hint="eastAsia"/>
          <w:b/>
          <w:kern w:val="0"/>
          <w:sz w:val="32"/>
          <w:szCs w:val="32"/>
        </w:rPr>
        <w:t>省级以上</w:t>
      </w:r>
      <w:r>
        <w:rPr>
          <w:rFonts w:ascii="仿宋_GB2312" w:eastAsia="仿宋_GB2312" w:cs="仿宋_GB2312"/>
          <w:b/>
          <w:kern w:val="0"/>
          <w:sz w:val="32"/>
          <w:szCs w:val="32"/>
        </w:rPr>
        <w:t>科技奖项目数：</w:t>
      </w:r>
      <w:r>
        <w:rPr>
          <w:rFonts w:ascii="仿宋_GB2312" w:eastAsia="仿宋_GB2312" w:cs="仿宋_GB2312"/>
          <w:bCs/>
          <w:kern w:val="0"/>
          <w:sz w:val="32"/>
          <w:szCs w:val="32"/>
        </w:rPr>
        <w:t>指企业在报告年度、报告年度前一年度获得的由</w:t>
      </w:r>
      <w:r>
        <w:rPr>
          <w:rFonts w:ascii="仿宋_GB2312" w:eastAsia="仿宋_GB2312" w:cs="仿宋_GB2312" w:hint="eastAsia"/>
          <w:bCs/>
          <w:kern w:val="0"/>
          <w:sz w:val="32"/>
          <w:szCs w:val="32"/>
        </w:rPr>
        <w:t>省政府、</w:t>
      </w:r>
      <w:r>
        <w:rPr>
          <w:rFonts w:ascii="仿宋_GB2312" w:eastAsia="仿宋_GB2312" w:cs="仿宋_GB2312"/>
          <w:bCs/>
          <w:kern w:val="0"/>
          <w:sz w:val="32"/>
          <w:szCs w:val="32"/>
        </w:rPr>
        <w:t>国务院设立并颁发的</w:t>
      </w:r>
      <w:r>
        <w:rPr>
          <w:rFonts w:ascii="仿宋_GB2312" w:eastAsia="仿宋_GB2312" w:cs="仿宋_GB2312"/>
          <w:bCs/>
          <w:kern w:val="0"/>
          <w:sz w:val="32"/>
          <w:szCs w:val="32"/>
        </w:rPr>
        <w:t>“</w:t>
      </w:r>
      <w:r>
        <w:rPr>
          <w:rFonts w:ascii="仿宋_GB2312" w:eastAsia="仿宋_GB2312" w:cs="仿宋_GB2312"/>
          <w:bCs/>
          <w:kern w:val="0"/>
          <w:sz w:val="32"/>
          <w:szCs w:val="32"/>
        </w:rPr>
        <w:t>自然科学奖</w:t>
      </w:r>
      <w:r>
        <w:rPr>
          <w:rFonts w:ascii="仿宋_GB2312" w:eastAsia="仿宋_GB2312" w:cs="仿宋_GB2312"/>
          <w:bCs/>
          <w:kern w:val="0"/>
          <w:sz w:val="32"/>
          <w:szCs w:val="32"/>
        </w:rPr>
        <w:t>”</w:t>
      </w:r>
      <w:r>
        <w:rPr>
          <w:rFonts w:ascii="仿宋_GB2312" w:eastAsia="仿宋_GB2312" w:cs="仿宋_GB2312"/>
          <w:bCs/>
          <w:kern w:val="0"/>
          <w:sz w:val="32"/>
          <w:szCs w:val="32"/>
        </w:rPr>
        <w:t>、</w:t>
      </w:r>
      <w:r>
        <w:rPr>
          <w:rFonts w:ascii="仿宋_GB2312" w:eastAsia="仿宋_GB2312" w:cs="仿宋_GB2312"/>
          <w:bCs/>
          <w:kern w:val="0"/>
          <w:sz w:val="32"/>
          <w:szCs w:val="32"/>
        </w:rPr>
        <w:t>“</w:t>
      </w:r>
      <w:r>
        <w:rPr>
          <w:rFonts w:ascii="仿宋_GB2312" w:eastAsia="仿宋_GB2312" w:cs="仿宋_GB2312"/>
          <w:bCs/>
          <w:kern w:val="0"/>
          <w:sz w:val="32"/>
          <w:szCs w:val="32"/>
        </w:rPr>
        <w:t>技术发明奖</w:t>
      </w:r>
      <w:r>
        <w:rPr>
          <w:rFonts w:ascii="仿宋_GB2312" w:eastAsia="仿宋_GB2312" w:cs="仿宋_GB2312"/>
          <w:bCs/>
          <w:kern w:val="0"/>
          <w:sz w:val="32"/>
          <w:szCs w:val="32"/>
        </w:rPr>
        <w:t>”</w:t>
      </w:r>
      <w:r>
        <w:rPr>
          <w:rFonts w:ascii="仿宋_GB2312" w:eastAsia="仿宋_GB2312" w:cs="仿宋_GB2312"/>
          <w:bCs/>
          <w:kern w:val="0"/>
          <w:sz w:val="32"/>
          <w:szCs w:val="32"/>
        </w:rPr>
        <w:t>和</w:t>
      </w:r>
      <w:r>
        <w:rPr>
          <w:rFonts w:ascii="仿宋_GB2312" w:eastAsia="仿宋_GB2312" w:cs="仿宋_GB2312" w:hint="eastAsia"/>
          <w:bCs/>
          <w:kern w:val="0"/>
          <w:sz w:val="32"/>
          <w:szCs w:val="32"/>
        </w:rPr>
        <w:t>“</w:t>
      </w:r>
      <w:r>
        <w:rPr>
          <w:rFonts w:ascii="仿宋_GB2312" w:eastAsia="仿宋_GB2312" w:cs="仿宋_GB2312"/>
          <w:bCs/>
          <w:kern w:val="0"/>
          <w:sz w:val="32"/>
          <w:szCs w:val="32"/>
        </w:rPr>
        <w:t>科学技术进步奖</w:t>
      </w:r>
      <w:r>
        <w:rPr>
          <w:rFonts w:ascii="仿宋_GB2312" w:eastAsia="仿宋_GB2312" w:cs="仿宋_GB2312" w:hint="eastAsia"/>
          <w:bCs/>
          <w:kern w:val="0"/>
          <w:sz w:val="32"/>
          <w:szCs w:val="32"/>
        </w:rPr>
        <w:t>”</w:t>
      </w:r>
      <w:r>
        <w:rPr>
          <w:rFonts w:ascii="仿宋_GB2312" w:eastAsia="仿宋_GB2312" w:cs="仿宋_GB2312"/>
          <w:bCs/>
          <w:kern w:val="0"/>
          <w:sz w:val="32"/>
          <w:szCs w:val="32"/>
        </w:rPr>
        <w:t>的项目总数。</w:t>
      </w:r>
    </w:p>
    <w:p w:rsidR="006061BF" w:rsidRDefault="00F13AF9">
      <w:pPr>
        <w:widowControl/>
        <w:jc w:val="left"/>
        <w:rPr>
          <w:rFonts w:ascii="黑体" w:eastAsia="黑体" w:hAnsi="黑体" w:cs="黑体"/>
          <w:sz w:val="28"/>
          <w:szCs w:val="28"/>
        </w:rPr>
      </w:pPr>
      <w:r>
        <w:rPr>
          <w:rFonts w:ascii="黑体" w:eastAsia="黑体" w:hAnsi="黑体" w:cs="黑体"/>
          <w:sz w:val="28"/>
          <w:szCs w:val="28"/>
        </w:rPr>
        <w:lastRenderedPageBreak/>
        <w:br w:type="page"/>
      </w:r>
    </w:p>
    <w:p w:rsidR="006061BF" w:rsidRDefault="00F13AF9">
      <w:pPr>
        <w:adjustRightInd w:val="0"/>
        <w:snapToGrid w:val="0"/>
        <w:rPr>
          <w:rFonts w:ascii="黑体" w:eastAsia="黑体" w:hAnsi="黑体" w:cs="黑体"/>
          <w:sz w:val="28"/>
          <w:szCs w:val="28"/>
        </w:rPr>
      </w:pPr>
      <w:r>
        <w:rPr>
          <w:rFonts w:ascii="黑体" w:eastAsia="黑体" w:hAnsi="黑体" w:cs="黑体" w:hint="eastAsia"/>
          <w:sz w:val="28"/>
          <w:szCs w:val="28"/>
        </w:rPr>
        <w:lastRenderedPageBreak/>
        <w:t>附件3：</w:t>
      </w:r>
    </w:p>
    <w:p w:rsidR="006061BF" w:rsidRDefault="00F13AF9" w:rsidP="007D47CC">
      <w:pPr>
        <w:adjustRightInd w:val="0"/>
        <w:snapToGrid w:val="0"/>
        <w:spacing w:beforeLines="5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贵州省企业技术中心评价指标体系</w:t>
      </w:r>
    </w:p>
    <w:p w:rsidR="006061BF" w:rsidRDefault="006061BF">
      <w:pPr>
        <w:widowControl/>
        <w:adjustRightInd w:val="0"/>
        <w:snapToGrid w:val="0"/>
        <w:rPr>
          <w:rFonts w:ascii="黑体" w:eastAsia="黑体" w:hAnsi="黑体" w:cs="黑体"/>
          <w:sz w:val="32"/>
          <w:szCs w:val="32"/>
        </w:rPr>
      </w:pPr>
    </w:p>
    <w:p w:rsidR="006061BF" w:rsidRDefault="00F13AF9">
      <w:pPr>
        <w:widowControl/>
        <w:adjustRightInd w:val="0"/>
        <w:snapToGrid w:val="0"/>
        <w:rPr>
          <w:rFonts w:ascii="黑体" w:eastAsia="黑体" w:hAnsi="黑体" w:cs="黑体"/>
          <w:sz w:val="32"/>
          <w:szCs w:val="32"/>
        </w:rPr>
      </w:pPr>
      <w:r>
        <w:rPr>
          <w:rFonts w:ascii="黑体" w:eastAsia="黑体" w:hAnsi="黑体" w:cs="黑体" w:hint="eastAsia"/>
          <w:sz w:val="32"/>
          <w:szCs w:val="32"/>
        </w:rPr>
        <w:t>一、评价指标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886"/>
        <w:gridCol w:w="710"/>
        <w:gridCol w:w="3780"/>
        <w:gridCol w:w="802"/>
        <w:gridCol w:w="793"/>
        <w:gridCol w:w="1252"/>
      </w:tblGrid>
      <w:tr w:rsidR="006061BF">
        <w:trPr>
          <w:trHeight w:val="673"/>
          <w:jc w:val="center"/>
        </w:trPr>
        <w:tc>
          <w:tcPr>
            <w:tcW w:w="816"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一级</w:t>
            </w:r>
          </w:p>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指标</w:t>
            </w:r>
          </w:p>
        </w:tc>
        <w:tc>
          <w:tcPr>
            <w:tcW w:w="886"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二级</w:t>
            </w:r>
          </w:p>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指标</w:t>
            </w:r>
          </w:p>
        </w:tc>
        <w:tc>
          <w:tcPr>
            <w:tcW w:w="710"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权重</w:t>
            </w:r>
          </w:p>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(分)</w:t>
            </w:r>
          </w:p>
        </w:tc>
        <w:tc>
          <w:tcPr>
            <w:tcW w:w="3780" w:type="dxa"/>
            <w:vAlign w:val="center"/>
          </w:tcPr>
          <w:p w:rsidR="006061BF" w:rsidRDefault="00F13AF9">
            <w:pPr>
              <w:widowControl/>
              <w:adjustRightInd w:val="0"/>
              <w:snapToGrid w:val="0"/>
              <w:jc w:val="center"/>
              <w:rPr>
                <w:rFonts w:ascii="仿宋_GB2312" w:eastAsia="仿宋_GB2312" w:hint="eastAsia"/>
                <w:sz w:val="24"/>
              </w:rPr>
            </w:pPr>
            <w:r>
              <w:rPr>
                <w:rFonts w:ascii="仿宋_GB2312" w:eastAsia="仿宋_GB2312" w:hAnsi="宋体" w:hint="eastAsia"/>
                <w:bCs/>
                <w:sz w:val="24"/>
              </w:rPr>
              <w:t>三级指标</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权重</w:t>
            </w:r>
          </w:p>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(分)</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单位</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基本要求</w:t>
            </w:r>
          </w:p>
        </w:tc>
      </w:tr>
      <w:tr w:rsidR="006061BF">
        <w:trPr>
          <w:trHeight w:val="406"/>
          <w:jc w:val="center"/>
        </w:trPr>
        <w:tc>
          <w:tcPr>
            <w:tcW w:w="816"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创新</w:t>
            </w:r>
          </w:p>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投入</w:t>
            </w:r>
          </w:p>
        </w:tc>
        <w:tc>
          <w:tcPr>
            <w:tcW w:w="886"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sz w:val="24"/>
              </w:rPr>
              <w:t>创新经费</w:t>
            </w:r>
          </w:p>
        </w:tc>
        <w:tc>
          <w:tcPr>
            <w:tcW w:w="710" w:type="dxa"/>
            <w:vMerge w:val="restart"/>
            <w:vAlign w:val="center"/>
          </w:tcPr>
          <w:p w:rsidR="006061BF" w:rsidRDefault="00F13AF9">
            <w:pPr>
              <w:pStyle w:val="Default"/>
              <w:snapToGrid w:val="0"/>
              <w:jc w:val="center"/>
              <w:rPr>
                <w:rFonts w:ascii="仿宋_GB2312" w:eastAsia="仿宋_GB2312" w:hAnsi="宋体"/>
                <w:color w:val="auto"/>
              </w:rPr>
            </w:pPr>
            <w:r>
              <w:rPr>
                <w:rFonts w:ascii="仿宋_GB2312" w:eastAsia="仿宋_GB2312" w:hAnsi="宋体" w:hint="eastAsia"/>
                <w:color w:val="auto"/>
              </w:rPr>
              <w:t>20</w:t>
            </w:r>
          </w:p>
        </w:tc>
        <w:tc>
          <w:tcPr>
            <w:tcW w:w="3780" w:type="dxa"/>
            <w:vAlign w:val="center"/>
          </w:tcPr>
          <w:p w:rsidR="006061BF" w:rsidRDefault="00F13AF9">
            <w:pPr>
              <w:pStyle w:val="Default"/>
              <w:snapToGrid w:val="0"/>
              <w:rPr>
                <w:rFonts w:ascii="仿宋_GB2312" w:eastAsia="仿宋_GB2312" w:hAnsi="宋体"/>
                <w:color w:val="auto"/>
              </w:rPr>
            </w:pPr>
            <w:r>
              <w:rPr>
                <w:rFonts w:ascii="仿宋_GB2312" w:eastAsia="仿宋_GB2312" w:hAnsi="宋体" w:hint="eastAsia"/>
                <w:color w:val="auto"/>
              </w:rPr>
              <w:t>研发人员人均研发经费支出</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8</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万元</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r>
      <w:tr w:rsidR="006061BF">
        <w:trPr>
          <w:trHeight w:val="574"/>
          <w:jc w:val="center"/>
        </w:trPr>
        <w:tc>
          <w:tcPr>
            <w:tcW w:w="816" w:type="dxa"/>
            <w:vMerge/>
            <w:vAlign w:val="center"/>
          </w:tcPr>
          <w:p w:rsidR="006061BF" w:rsidRDefault="006061BF">
            <w:pPr>
              <w:pStyle w:val="Default"/>
              <w:snapToGrid w:val="0"/>
              <w:jc w:val="center"/>
              <w:rPr>
                <w:rFonts w:ascii="仿宋_GB2312" w:eastAsia="仿宋_GB2312" w:hint="eastAsia"/>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pStyle w:val="Default"/>
              <w:snapToGrid w:val="0"/>
              <w:jc w:val="center"/>
              <w:rPr>
                <w:rFonts w:ascii="仿宋_GB2312" w:eastAsia="仿宋_GB2312" w:hAnsi="宋体"/>
                <w:color w:val="auto"/>
              </w:rPr>
            </w:pPr>
          </w:p>
        </w:tc>
        <w:tc>
          <w:tcPr>
            <w:tcW w:w="3780" w:type="dxa"/>
            <w:vAlign w:val="center"/>
          </w:tcPr>
          <w:p w:rsidR="006061BF" w:rsidRDefault="00F13AF9">
            <w:pPr>
              <w:pStyle w:val="Default"/>
              <w:snapToGrid w:val="0"/>
              <w:rPr>
                <w:rFonts w:ascii="仿宋_GB2312" w:eastAsia="仿宋_GB2312" w:hAnsi="宋体"/>
                <w:color w:val="auto"/>
              </w:rPr>
            </w:pPr>
            <w:r>
              <w:rPr>
                <w:rFonts w:ascii="仿宋_GB2312" w:eastAsia="仿宋_GB2312" w:hAnsi="宋体" w:hint="eastAsia"/>
                <w:color w:val="auto"/>
              </w:rPr>
              <w:t>研发经费支出占主营业务收入的比重</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12</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分档</w:t>
            </w:r>
          </w:p>
        </w:tc>
      </w:tr>
      <w:tr w:rsidR="006061BF">
        <w:trPr>
          <w:trHeight w:val="456"/>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sz w:val="24"/>
              </w:rPr>
              <w:t>创新人才</w:t>
            </w:r>
          </w:p>
        </w:tc>
        <w:tc>
          <w:tcPr>
            <w:tcW w:w="710"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15</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研发人员占企业职工总数比重</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7</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r>
      <w:tr w:rsidR="006061BF">
        <w:trPr>
          <w:trHeight w:val="618"/>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技术中心拥有高级</w:t>
            </w:r>
            <w:r>
              <w:rPr>
                <w:rFonts w:ascii="仿宋_GB2312" w:eastAsia="仿宋_GB2312" w:hAnsi="宋体" w:hint="eastAsia"/>
                <w:color w:val="auto"/>
              </w:rPr>
              <w:t>专家和硕士以上学位人数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人</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r>
      <w:tr w:rsidR="006061BF">
        <w:trPr>
          <w:trHeight w:val="781"/>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来企业技术中心从事研发的工作的外部专家人数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人月</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≥10</w:t>
            </w:r>
          </w:p>
        </w:tc>
      </w:tr>
      <w:tr w:rsidR="006061BF">
        <w:trPr>
          <w:trHeight w:val="549"/>
          <w:jc w:val="center"/>
        </w:trPr>
        <w:tc>
          <w:tcPr>
            <w:tcW w:w="816"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创新条件</w:t>
            </w:r>
          </w:p>
        </w:tc>
        <w:tc>
          <w:tcPr>
            <w:tcW w:w="886" w:type="dxa"/>
            <w:vMerge w:val="restart"/>
            <w:vAlign w:val="center"/>
          </w:tcPr>
          <w:p w:rsidR="006061BF" w:rsidRDefault="00F13AF9">
            <w:pPr>
              <w:widowControl/>
              <w:adjustRightInd w:val="0"/>
              <w:snapToGrid w:val="0"/>
              <w:jc w:val="center"/>
              <w:rPr>
                <w:rFonts w:ascii="仿宋_GB2312" w:eastAsia="仿宋_GB2312" w:hAnsi="宋体"/>
                <w:bCs/>
                <w:sz w:val="28"/>
                <w:szCs w:val="28"/>
              </w:rPr>
            </w:pPr>
            <w:r>
              <w:rPr>
                <w:rFonts w:ascii="仿宋_GB2312" w:eastAsia="仿宋_GB2312" w:hAnsi="宋体" w:hint="eastAsia"/>
                <w:sz w:val="28"/>
                <w:szCs w:val="28"/>
              </w:rPr>
              <w:t>技术积累</w:t>
            </w:r>
          </w:p>
        </w:tc>
        <w:tc>
          <w:tcPr>
            <w:tcW w:w="710"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13</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企业拥有的全部有效发明专利数量</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r>
      <w:tr w:rsidR="006061BF">
        <w:trPr>
          <w:trHeight w:val="415"/>
          <w:jc w:val="center"/>
        </w:trPr>
        <w:tc>
          <w:tcPr>
            <w:tcW w:w="816" w:type="dxa"/>
            <w:vMerge/>
            <w:vAlign w:val="center"/>
          </w:tcPr>
          <w:p w:rsidR="006061BF" w:rsidRDefault="006061BF">
            <w:pPr>
              <w:pStyle w:val="Default"/>
              <w:snapToGrid w:val="0"/>
              <w:jc w:val="center"/>
              <w:rPr>
                <w:rFonts w:ascii="仿宋_GB2312" w:eastAsia="仿宋_GB2312" w:hint="eastAsia"/>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企业全部研发项目数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r>
      <w:tr w:rsidR="006061BF">
        <w:trPr>
          <w:trHeight w:val="554"/>
          <w:jc w:val="center"/>
        </w:trPr>
        <w:tc>
          <w:tcPr>
            <w:tcW w:w="816" w:type="dxa"/>
            <w:vMerge/>
            <w:vAlign w:val="center"/>
          </w:tcPr>
          <w:p w:rsidR="006061BF" w:rsidRDefault="006061BF">
            <w:pPr>
              <w:pStyle w:val="Default"/>
              <w:snapToGrid w:val="0"/>
              <w:jc w:val="center"/>
              <w:rPr>
                <w:rFonts w:ascii="仿宋_GB2312" w:eastAsia="仿宋_GB2312" w:hint="eastAsia"/>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基础研究和应用研究数目占全部研发项目数的比重</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r>
      <w:tr w:rsidR="006061BF">
        <w:trPr>
          <w:trHeight w:val="376"/>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restart"/>
            <w:vAlign w:val="center"/>
          </w:tcPr>
          <w:p w:rsidR="006061BF" w:rsidRDefault="00F13AF9">
            <w:pPr>
              <w:pStyle w:val="Default"/>
              <w:snapToGrid w:val="0"/>
              <w:jc w:val="center"/>
              <w:rPr>
                <w:rFonts w:ascii="仿宋_GB2312" w:eastAsia="仿宋_GB2312" w:hAnsi="宋体"/>
              </w:rPr>
            </w:pPr>
            <w:r>
              <w:rPr>
                <w:rFonts w:ascii="仿宋_GB2312" w:eastAsia="仿宋_GB2312" w:hAnsi="宋体" w:hint="eastAsia"/>
              </w:rPr>
              <w:t>创新平台</w:t>
            </w:r>
          </w:p>
        </w:tc>
        <w:tc>
          <w:tcPr>
            <w:tcW w:w="710"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12</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企业技术开发仪器设备原值</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万元</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分档</w:t>
            </w:r>
          </w:p>
        </w:tc>
      </w:tr>
      <w:tr w:rsidR="006061BF">
        <w:trPr>
          <w:trHeight w:val="364"/>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国家级研发平台数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个</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w:t>
            </w:r>
          </w:p>
        </w:tc>
      </w:tr>
      <w:tr w:rsidR="006061BF">
        <w:trPr>
          <w:trHeight w:val="398"/>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省级研发平台数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2</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个</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w:t>
            </w:r>
          </w:p>
        </w:tc>
      </w:tr>
      <w:tr w:rsidR="006061BF">
        <w:trPr>
          <w:trHeight w:val="640"/>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int="eastAsia"/>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通过省级以上认证的实验室和检测机构数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3</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个</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w:t>
            </w:r>
          </w:p>
        </w:tc>
      </w:tr>
      <w:tr w:rsidR="006061BF">
        <w:trPr>
          <w:trHeight w:val="399"/>
          <w:jc w:val="center"/>
        </w:trPr>
        <w:tc>
          <w:tcPr>
            <w:tcW w:w="816"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创新效益</w:t>
            </w:r>
          </w:p>
        </w:tc>
        <w:tc>
          <w:tcPr>
            <w:tcW w:w="886" w:type="dxa"/>
            <w:vMerge w:val="restart"/>
            <w:vAlign w:val="center"/>
          </w:tcPr>
          <w:p w:rsidR="006061BF" w:rsidRDefault="00F13AF9">
            <w:pPr>
              <w:pStyle w:val="Default"/>
              <w:snapToGrid w:val="0"/>
              <w:jc w:val="center"/>
              <w:rPr>
                <w:rFonts w:ascii="仿宋_GB2312" w:eastAsia="仿宋_GB2312" w:hAnsi="宋体"/>
                <w:bCs/>
              </w:rPr>
            </w:pPr>
            <w:r>
              <w:rPr>
                <w:rFonts w:ascii="仿宋_GB2312" w:eastAsia="仿宋_GB2312" w:hAnsi="宋体" w:hint="eastAsia"/>
              </w:rPr>
              <w:t>技术产出</w:t>
            </w:r>
          </w:p>
        </w:tc>
        <w:tc>
          <w:tcPr>
            <w:tcW w:w="710"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15</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当年受理的专利申请数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≥6</w:t>
            </w:r>
          </w:p>
        </w:tc>
      </w:tr>
      <w:tr w:rsidR="006061BF">
        <w:trPr>
          <w:trHeight w:val="448"/>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widowControl/>
              <w:adjustRightInd w:val="0"/>
              <w:snapToGrid w:val="0"/>
              <w:jc w:val="center"/>
              <w:rPr>
                <w:rFonts w:ascii="仿宋_GB2312" w:eastAsia="仿宋_GB2312" w:hAnsi="宋体"/>
                <w:bCs/>
                <w:sz w:val="24"/>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当年受理的发明专利申请数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6</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≥2</w:t>
            </w:r>
          </w:p>
        </w:tc>
      </w:tr>
      <w:tr w:rsidR="006061BF">
        <w:trPr>
          <w:trHeight w:val="744"/>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widowControl/>
              <w:adjustRightInd w:val="0"/>
              <w:snapToGrid w:val="0"/>
              <w:jc w:val="center"/>
              <w:rPr>
                <w:rFonts w:ascii="仿宋_GB2312" w:eastAsia="仿宋_GB2312" w:hAnsi="宋体"/>
                <w:bCs/>
                <w:sz w:val="24"/>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近三年主持和参与制定的地方、国家、国际和行业标准数</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4</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w:t>
            </w:r>
          </w:p>
        </w:tc>
      </w:tr>
      <w:tr w:rsidR="006061BF">
        <w:trPr>
          <w:trHeight w:val="640"/>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restart"/>
            <w:vAlign w:val="center"/>
          </w:tcPr>
          <w:p w:rsidR="006061BF" w:rsidRDefault="00F13AF9">
            <w:pPr>
              <w:pStyle w:val="Default"/>
              <w:snapToGrid w:val="0"/>
              <w:jc w:val="center"/>
              <w:rPr>
                <w:rFonts w:ascii="仿宋_GB2312" w:eastAsia="仿宋_GB2312" w:hint="eastAsia"/>
              </w:rPr>
            </w:pPr>
            <w:r>
              <w:rPr>
                <w:rFonts w:ascii="仿宋_GB2312" w:eastAsia="仿宋_GB2312" w:hAnsi="宋体" w:hint="eastAsia"/>
              </w:rPr>
              <w:t>创新效益</w:t>
            </w:r>
          </w:p>
        </w:tc>
        <w:tc>
          <w:tcPr>
            <w:tcW w:w="710" w:type="dxa"/>
            <w:vMerge w:val="restart"/>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25</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新产品销售收入占主营业务收入的比重</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10</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≥20</w:t>
            </w:r>
          </w:p>
        </w:tc>
      </w:tr>
      <w:tr w:rsidR="006061BF">
        <w:trPr>
          <w:trHeight w:val="583"/>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新产品销售利润占主营业务利润的比重</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10</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≥15</w:t>
            </w:r>
          </w:p>
        </w:tc>
      </w:tr>
      <w:tr w:rsidR="006061BF">
        <w:trPr>
          <w:trHeight w:val="320"/>
          <w:jc w:val="center"/>
        </w:trPr>
        <w:tc>
          <w:tcPr>
            <w:tcW w:w="816" w:type="dxa"/>
            <w:vMerge/>
            <w:vAlign w:val="center"/>
          </w:tcPr>
          <w:p w:rsidR="006061BF" w:rsidRDefault="006061BF">
            <w:pPr>
              <w:widowControl/>
              <w:adjustRightInd w:val="0"/>
              <w:snapToGrid w:val="0"/>
              <w:jc w:val="center"/>
              <w:rPr>
                <w:rFonts w:ascii="仿宋_GB2312" w:eastAsia="仿宋_GB2312" w:hAnsi="宋体"/>
                <w:bCs/>
                <w:sz w:val="24"/>
              </w:rPr>
            </w:pPr>
          </w:p>
        </w:tc>
        <w:tc>
          <w:tcPr>
            <w:tcW w:w="886" w:type="dxa"/>
            <w:vMerge/>
            <w:vAlign w:val="center"/>
          </w:tcPr>
          <w:p w:rsidR="006061BF" w:rsidRDefault="006061BF">
            <w:pPr>
              <w:pStyle w:val="Default"/>
              <w:snapToGrid w:val="0"/>
              <w:jc w:val="center"/>
              <w:rPr>
                <w:rFonts w:ascii="仿宋_GB2312" w:eastAsia="仿宋_GB2312" w:hAnsi="宋体"/>
              </w:rPr>
            </w:pPr>
          </w:p>
        </w:tc>
        <w:tc>
          <w:tcPr>
            <w:tcW w:w="710" w:type="dxa"/>
            <w:vMerge/>
            <w:vAlign w:val="center"/>
          </w:tcPr>
          <w:p w:rsidR="006061BF" w:rsidRDefault="006061BF">
            <w:pPr>
              <w:widowControl/>
              <w:adjustRightInd w:val="0"/>
              <w:snapToGrid w:val="0"/>
              <w:jc w:val="center"/>
              <w:rPr>
                <w:rFonts w:ascii="仿宋_GB2312" w:eastAsia="仿宋_GB2312" w:hAnsi="宋体"/>
                <w:bCs/>
                <w:sz w:val="24"/>
              </w:rPr>
            </w:pP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利润率</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w:t>
            </w:r>
          </w:p>
        </w:tc>
        <w:tc>
          <w:tcPr>
            <w:tcW w:w="125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r>
      <w:tr w:rsidR="006061BF">
        <w:trPr>
          <w:trHeight w:val="966"/>
          <w:jc w:val="center"/>
        </w:trPr>
        <w:tc>
          <w:tcPr>
            <w:tcW w:w="816"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加分</w:t>
            </w:r>
          </w:p>
        </w:tc>
        <w:tc>
          <w:tcPr>
            <w:tcW w:w="886" w:type="dxa"/>
            <w:vAlign w:val="center"/>
          </w:tcPr>
          <w:p w:rsidR="006061BF" w:rsidRDefault="00F13AF9">
            <w:pPr>
              <w:pStyle w:val="Default"/>
              <w:snapToGrid w:val="0"/>
              <w:jc w:val="center"/>
              <w:rPr>
                <w:rFonts w:ascii="仿宋_GB2312" w:eastAsia="仿宋_GB2312" w:hAnsi="宋体"/>
              </w:rPr>
            </w:pPr>
            <w:r>
              <w:rPr>
                <w:rFonts w:ascii="仿宋_GB2312" w:eastAsia="仿宋_GB2312" w:hAnsi="宋体" w:hint="eastAsia"/>
              </w:rPr>
              <w:t>加分</w:t>
            </w:r>
          </w:p>
        </w:tc>
        <w:tc>
          <w:tcPr>
            <w:tcW w:w="710" w:type="dxa"/>
            <w:vAlign w:val="center"/>
          </w:tcPr>
          <w:p w:rsidR="006061BF" w:rsidRDefault="00F13AF9">
            <w:pPr>
              <w:adjustRightInd w:val="0"/>
              <w:snapToGrid w:val="0"/>
              <w:jc w:val="center"/>
              <w:rPr>
                <w:rFonts w:ascii="仿宋_GB2312" w:eastAsia="仿宋_GB2312" w:hAnsi="宋体"/>
                <w:bCs/>
                <w:sz w:val="24"/>
              </w:rPr>
            </w:pPr>
            <w:r>
              <w:rPr>
                <w:rFonts w:ascii="仿宋_GB2312" w:eastAsia="仿宋_GB2312" w:hAnsi="宋体" w:hint="eastAsia"/>
                <w:bCs/>
                <w:sz w:val="24"/>
              </w:rPr>
              <w:t>5</w:t>
            </w:r>
          </w:p>
        </w:tc>
        <w:tc>
          <w:tcPr>
            <w:tcW w:w="3780" w:type="dxa"/>
            <w:vAlign w:val="center"/>
          </w:tcPr>
          <w:p w:rsidR="006061BF" w:rsidRDefault="00F13AF9">
            <w:pPr>
              <w:pStyle w:val="Default"/>
              <w:snapToGrid w:val="0"/>
              <w:rPr>
                <w:rFonts w:ascii="仿宋_GB2312" w:eastAsia="仿宋_GB2312" w:hAnsi="宋体"/>
              </w:rPr>
            </w:pPr>
            <w:r>
              <w:rPr>
                <w:rFonts w:ascii="仿宋_GB2312" w:eastAsia="仿宋_GB2312" w:hAnsi="宋体" w:hint="eastAsia"/>
              </w:rPr>
              <w:t>获省级以上自然科学、技术发明、科技进步奖</w:t>
            </w:r>
          </w:p>
        </w:tc>
        <w:tc>
          <w:tcPr>
            <w:tcW w:w="802"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5</w:t>
            </w:r>
          </w:p>
        </w:tc>
        <w:tc>
          <w:tcPr>
            <w:tcW w:w="793"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sz w:val="24"/>
              </w:rPr>
              <w:t>项</w:t>
            </w:r>
          </w:p>
        </w:tc>
        <w:tc>
          <w:tcPr>
            <w:tcW w:w="1252" w:type="dxa"/>
            <w:vAlign w:val="center"/>
          </w:tcPr>
          <w:p w:rsidR="006061BF" w:rsidRDefault="006061BF">
            <w:pPr>
              <w:widowControl/>
              <w:adjustRightInd w:val="0"/>
              <w:snapToGrid w:val="0"/>
              <w:jc w:val="center"/>
              <w:rPr>
                <w:rFonts w:ascii="仿宋_GB2312" w:eastAsia="仿宋_GB2312" w:hAnsi="宋体"/>
                <w:bCs/>
                <w:sz w:val="24"/>
              </w:rPr>
            </w:pPr>
          </w:p>
        </w:tc>
      </w:tr>
    </w:tbl>
    <w:p w:rsidR="006061BF" w:rsidRDefault="00F13AF9">
      <w:pPr>
        <w:widowControl/>
        <w:adjustRightInd w:val="0"/>
        <w:snapToGrid w:val="0"/>
        <w:ind w:firstLineChars="200" w:firstLine="560"/>
        <w:rPr>
          <w:rFonts w:ascii="黑体" w:eastAsia="黑体" w:hAnsi="黑体" w:cs="黑体"/>
          <w:sz w:val="28"/>
          <w:szCs w:val="28"/>
        </w:rPr>
      </w:pPr>
      <w:r>
        <w:rPr>
          <w:rFonts w:ascii="黑体" w:eastAsia="黑体" w:hAnsi="黑体" w:cs="黑体" w:hint="eastAsia"/>
          <w:sz w:val="28"/>
          <w:szCs w:val="28"/>
        </w:rPr>
        <w:lastRenderedPageBreak/>
        <w:t>说明：</w:t>
      </w:r>
    </w:p>
    <w:p w:rsidR="006061BF" w:rsidRDefault="00F13AF9" w:rsidP="00F13AF9">
      <w:pPr>
        <w:widowControl/>
        <w:adjustRightInd w:val="0"/>
        <w:snapToGrid w:val="0"/>
        <w:ind w:firstLineChars="200" w:firstLine="480"/>
        <w:rPr>
          <w:rFonts w:ascii="楷体_GB2312" w:eastAsia="楷体_GB2312" w:hAnsi="宋体"/>
          <w:sz w:val="24"/>
          <w:szCs w:val="28"/>
        </w:rPr>
      </w:pPr>
      <w:r>
        <w:rPr>
          <w:rFonts w:ascii="楷体_GB2312" w:eastAsia="楷体_GB2312" w:hAnsi="宋体" w:hint="eastAsia"/>
          <w:sz w:val="24"/>
          <w:szCs w:val="28"/>
        </w:rPr>
        <w:t>1．考虑到不同规模企业考虑到不同规模企业在研发投入强度上存在显著差异，对“研发经费支出占主营业务收入的比重”这一指标的基本要求按照企业规模划分为4档：主营业务收入50亿元及以上的企业为1.0%，主营业务收入10～50亿元（含10亿元）的企业为1.5%，主营业务收入1～10亿元（含1亿元）的企业为2.0%，主营业务收入1亿元以下的企业为3.0%。</w:t>
      </w:r>
    </w:p>
    <w:p w:rsidR="006061BF" w:rsidRDefault="00F13AF9" w:rsidP="00F13AF9">
      <w:pPr>
        <w:widowControl/>
        <w:adjustRightInd w:val="0"/>
        <w:snapToGrid w:val="0"/>
        <w:spacing w:line="360" w:lineRule="exact"/>
        <w:ind w:firstLineChars="200" w:firstLine="480"/>
        <w:jc w:val="left"/>
        <w:rPr>
          <w:rFonts w:ascii="楷体_GB2312" w:eastAsia="楷体_GB2312" w:hAnsi="宋体"/>
          <w:sz w:val="24"/>
          <w:szCs w:val="28"/>
        </w:rPr>
      </w:pPr>
      <w:r>
        <w:rPr>
          <w:rFonts w:ascii="楷体_GB2312" w:eastAsia="楷体_GB2312" w:hAnsi="宋体" w:hint="eastAsia"/>
          <w:sz w:val="24"/>
          <w:szCs w:val="28"/>
        </w:rPr>
        <w:t>2.考虑到个别行业的差异，将“企业技术开发仪器设备原值”这一指标分档：“专精特新”中小企业、“新业态”企业、“特色优势产业”企业为200万元，其他为500万元。</w:t>
      </w:r>
    </w:p>
    <w:p w:rsidR="006061BF" w:rsidRDefault="00F13AF9" w:rsidP="00F13AF9">
      <w:pPr>
        <w:widowControl/>
        <w:adjustRightInd w:val="0"/>
        <w:snapToGrid w:val="0"/>
        <w:spacing w:line="360" w:lineRule="exact"/>
        <w:ind w:firstLineChars="200" w:firstLine="480"/>
        <w:jc w:val="left"/>
        <w:rPr>
          <w:rFonts w:ascii="楷体_GB2312" w:eastAsia="楷体_GB2312" w:hAnsi="仿宋" w:cs="黑体"/>
          <w:sz w:val="24"/>
          <w:szCs w:val="28"/>
        </w:rPr>
      </w:pPr>
      <w:r>
        <w:rPr>
          <w:rFonts w:ascii="楷体_GB2312" w:eastAsia="楷体_GB2312" w:hAnsi="宋体" w:hint="eastAsia"/>
          <w:sz w:val="24"/>
          <w:szCs w:val="28"/>
        </w:rPr>
        <w:t>3.企业作为主要完成单位或企业员工作为主要完成人获省级以上科技奖项目，一等奖每项加5分，二等奖每项加3分，三等奖加2分，累计不超过5分。</w:t>
      </w:r>
    </w:p>
    <w:p w:rsidR="006061BF" w:rsidRDefault="006061BF">
      <w:pPr>
        <w:widowControl/>
        <w:adjustRightInd w:val="0"/>
        <w:snapToGrid w:val="0"/>
        <w:ind w:firstLineChars="147" w:firstLine="470"/>
        <w:rPr>
          <w:rFonts w:ascii="黑体" w:eastAsia="黑体" w:hAnsi="黑体" w:cs="黑体"/>
          <w:sz w:val="32"/>
          <w:szCs w:val="32"/>
        </w:rPr>
      </w:pPr>
    </w:p>
    <w:p w:rsidR="006061BF" w:rsidRDefault="00F13AF9" w:rsidP="007D47CC">
      <w:pPr>
        <w:widowControl/>
        <w:adjustRightInd w:val="0"/>
        <w:snapToGrid w:val="0"/>
        <w:spacing w:afterLines="50"/>
        <w:ind w:firstLineChars="147" w:firstLine="470"/>
        <w:rPr>
          <w:rFonts w:ascii="黑体" w:eastAsia="黑体" w:hAnsi="黑体" w:cs="黑体"/>
          <w:sz w:val="32"/>
          <w:szCs w:val="32"/>
        </w:rPr>
      </w:pPr>
      <w:r>
        <w:rPr>
          <w:rFonts w:ascii="黑体" w:eastAsia="黑体" w:hAnsi="黑体" w:cs="黑体" w:hint="eastAsia"/>
          <w:sz w:val="32"/>
          <w:szCs w:val="32"/>
        </w:rPr>
        <w:t>二、行业系数</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5"/>
        <w:gridCol w:w="1801"/>
        <w:gridCol w:w="1747"/>
        <w:gridCol w:w="1687"/>
      </w:tblGrid>
      <w:tr w:rsidR="006061BF">
        <w:trPr>
          <w:trHeight w:val="997"/>
          <w:jc w:val="center"/>
        </w:trPr>
        <w:tc>
          <w:tcPr>
            <w:tcW w:w="3385" w:type="dxa"/>
            <w:vAlign w:val="center"/>
          </w:tcPr>
          <w:p w:rsidR="006061BF" w:rsidRDefault="00F13AF9">
            <w:pPr>
              <w:pStyle w:val="Default"/>
              <w:snapToGrid w:val="0"/>
              <w:jc w:val="center"/>
              <w:rPr>
                <w:rFonts w:hAnsi="黑体" w:cs="楷体"/>
              </w:rPr>
            </w:pPr>
            <w:r>
              <w:rPr>
                <w:rFonts w:hAnsi="黑体" w:cs="楷体" w:hint="eastAsia"/>
                <w:bCs/>
              </w:rPr>
              <w:t>行  业</w:t>
            </w:r>
          </w:p>
        </w:tc>
        <w:tc>
          <w:tcPr>
            <w:tcW w:w="1801" w:type="dxa"/>
            <w:vAlign w:val="center"/>
          </w:tcPr>
          <w:p w:rsidR="006061BF" w:rsidRDefault="00F13AF9">
            <w:pPr>
              <w:adjustRightInd w:val="0"/>
              <w:snapToGrid w:val="0"/>
              <w:jc w:val="center"/>
              <w:rPr>
                <w:rFonts w:ascii="黑体" w:eastAsia="黑体" w:hAnsi="黑体" w:cs="楷体"/>
                <w:bCs/>
                <w:sz w:val="24"/>
              </w:rPr>
            </w:pPr>
            <w:r>
              <w:rPr>
                <w:rFonts w:ascii="黑体" w:eastAsia="黑体" w:hAnsi="黑体" w:cs="楷体" w:hint="eastAsia"/>
                <w:bCs/>
                <w:sz w:val="24"/>
              </w:rPr>
              <w:t>研发经费支出占主营业务收入的比重</w:t>
            </w:r>
          </w:p>
        </w:tc>
        <w:tc>
          <w:tcPr>
            <w:tcW w:w="1747" w:type="dxa"/>
            <w:vAlign w:val="center"/>
          </w:tcPr>
          <w:p w:rsidR="006061BF" w:rsidRDefault="00F13AF9">
            <w:pPr>
              <w:adjustRightInd w:val="0"/>
              <w:snapToGrid w:val="0"/>
              <w:jc w:val="center"/>
              <w:rPr>
                <w:rFonts w:ascii="黑体" w:eastAsia="黑体" w:hAnsi="黑体" w:cs="楷体"/>
                <w:bCs/>
                <w:sz w:val="24"/>
              </w:rPr>
            </w:pPr>
            <w:r>
              <w:rPr>
                <w:rFonts w:ascii="黑体" w:eastAsia="黑体" w:hAnsi="黑体" w:cs="楷体" w:hint="eastAsia"/>
                <w:bCs/>
                <w:sz w:val="24"/>
              </w:rPr>
              <w:t>新产品销售收入占主营业务收入的比重</w:t>
            </w:r>
          </w:p>
        </w:tc>
        <w:tc>
          <w:tcPr>
            <w:tcW w:w="1687" w:type="dxa"/>
            <w:vAlign w:val="center"/>
          </w:tcPr>
          <w:p w:rsidR="006061BF" w:rsidRDefault="00F13AF9">
            <w:pPr>
              <w:adjustRightInd w:val="0"/>
              <w:snapToGrid w:val="0"/>
              <w:jc w:val="center"/>
              <w:rPr>
                <w:rFonts w:ascii="黑体" w:eastAsia="黑体" w:hAnsi="黑体" w:cs="楷体"/>
                <w:bCs/>
                <w:sz w:val="24"/>
              </w:rPr>
            </w:pPr>
            <w:r>
              <w:rPr>
                <w:rFonts w:ascii="黑体" w:eastAsia="黑体" w:hAnsi="黑体" w:cs="楷体" w:hint="eastAsia"/>
                <w:bCs/>
                <w:sz w:val="24"/>
              </w:rPr>
              <w:t>新产品销售利润占利润总额的比重</w:t>
            </w:r>
          </w:p>
        </w:tc>
      </w:tr>
      <w:tr w:rsidR="006061BF">
        <w:trPr>
          <w:trHeight w:val="41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农业</w:t>
            </w:r>
          </w:p>
        </w:tc>
        <w:tc>
          <w:tcPr>
            <w:tcW w:w="1801"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1.5</w:t>
            </w:r>
          </w:p>
        </w:tc>
        <w:tc>
          <w:tcPr>
            <w:tcW w:w="1747"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1.5</w:t>
            </w:r>
          </w:p>
        </w:tc>
        <w:tc>
          <w:tcPr>
            <w:tcW w:w="1687"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1.5</w:t>
            </w:r>
          </w:p>
        </w:tc>
      </w:tr>
      <w:tr w:rsidR="006061BF">
        <w:trPr>
          <w:trHeight w:val="449"/>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煤炭开采和洗选业</w:t>
            </w:r>
          </w:p>
        </w:tc>
        <w:tc>
          <w:tcPr>
            <w:tcW w:w="1801"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2.0</w:t>
            </w:r>
          </w:p>
        </w:tc>
        <w:tc>
          <w:tcPr>
            <w:tcW w:w="1747"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3.0</w:t>
            </w:r>
          </w:p>
        </w:tc>
        <w:tc>
          <w:tcPr>
            <w:tcW w:w="1687" w:type="dxa"/>
            <w:vAlign w:val="center"/>
          </w:tcPr>
          <w:p w:rsidR="006061BF" w:rsidRDefault="00F13AF9">
            <w:pPr>
              <w:adjustRightInd w:val="0"/>
              <w:snapToGrid w:val="0"/>
              <w:spacing w:before="140"/>
              <w:jc w:val="center"/>
              <w:rPr>
                <w:rFonts w:ascii="仿宋_GB2312" w:eastAsia="仿宋_GB2312" w:hAnsi="宋体"/>
              </w:rPr>
            </w:pPr>
            <w:r>
              <w:rPr>
                <w:rFonts w:ascii="仿宋_GB2312" w:eastAsia="仿宋_GB2312" w:hint="eastAsia"/>
              </w:rPr>
              <w:t>3.0</w:t>
            </w:r>
          </w:p>
        </w:tc>
      </w:tr>
      <w:tr w:rsidR="006061BF">
        <w:trPr>
          <w:trHeight w:val="452"/>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石油和天然气开采业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Ansi="宋体" w:hint="eastAsia"/>
              </w:rPr>
              <w:t>2.0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Ansi="宋体" w:hint="eastAsia"/>
              </w:rPr>
              <w:t>3.0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Ansi="宋体" w:hint="eastAsia"/>
              </w:rPr>
              <w:t>3.0</w:t>
            </w:r>
          </w:p>
        </w:tc>
      </w:tr>
      <w:tr w:rsidR="006061BF">
        <w:trPr>
          <w:trHeight w:val="41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有色金属矿采选业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3.0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r>
      <w:tr w:rsidR="006061BF">
        <w:trPr>
          <w:trHeight w:val="41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农副食品加工业、食品制造业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3.0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酒、饮料和精制茶制造业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3.0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烟草制品业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3.0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纺织业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纺织服装、服饰业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r>
      <w:tr w:rsidR="006061BF">
        <w:trPr>
          <w:trHeight w:val="680"/>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皮革、毛皮、羽毛及其制品和制 鞋业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r>
      <w:tr w:rsidR="006061BF">
        <w:trPr>
          <w:trHeight w:val="680"/>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木材加工和木、竹、藤、棕、草 制品业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家具制造业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造纸和纸制品业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r>
      <w:tr w:rsidR="006061BF">
        <w:trPr>
          <w:trHeight w:val="534"/>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印刷和记录媒介复制业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r>
      <w:tr w:rsidR="006061BF">
        <w:trPr>
          <w:trHeight w:val="1269"/>
          <w:jc w:val="center"/>
        </w:trPr>
        <w:tc>
          <w:tcPr>
            <w:tcW w:w="3385" w:type="dxa"/>
            <w:vAlign w:val="center"/>
          </w:tcPr>
          <w:p w:rsidR="006061BF" w:rsidRDefault="00F13AF9">
            <w:pPr>
              <w:pStyle w:val="Default"/>
              <w:snapToGrid w:val="0"/>
              <w:jc w:val="center"/>
              <w:rPr>
                <w:rFonts w:hAnsi="黑体"/>
              </w:rPr>
            </w:pPr>
            <w:r>
              <w:rPr>
                <w:rFonts w:hAnsi="黑体" w:cs="楷体" w:hint="eastAsia"/>
                <w:bCs/>
              </w:rPr>
              <w:lastRenderedPageBreak/>
              <w:t>行  业</w:t>
            </w:r>
          </w:p>
        </w:tc>
        <w:tc>
          <w:tcPr>
            <w:tcW w:w="1801" w:type="dxa"/>
            <w:vAlign w:val="center"/>
          </w:tcPr>
          <w:p w:rsidR="006061BF" w:rsidRDefault="00F13AF9">
            <w:pPr>
              <w:adjustRightInd w:val="0"/>
              <w:snapToGrid w:val="0"/>
              <w:jc w:val="center"/>
              <w:rPr>
                <w:rFonts w:ascii="黑体" w:eastAsia="黑体" w:hAnsi="黑体"/>
                <w:sz w:val="24"/>
              </w:rPr>
            </w:pPr>
            <w:r>
              <w:rPr>
                <w:rFonts w:ascii="黑体" w:eastAsia="黑体" w:hAnsi="黑体" w:cs="楷体" w:hint="eastAsia"/>
                <w:bCs/>
                <w:sz w:val="24"/>
              </w:rPr>
              <w:t>研发经费支出占主营业务收入的比重</w:t>
            </w:r>
          </w:p>
        </w:tc>
        <w:tc>
          <w:tcPr>
            <w:tcW w:w="1747" w:type="dxa"/>
            <w:vAlign w:val="center"/>
          </w:tcPr>
          <w:p w:rsidR="006061BF" w:rsidRDefault="00F13AF9">
            <w:pPr>
              <w:adjustRightInd w:val="0"/>
              <w:snapToGrid w:val="0"/>
              <w:jc w:val="center"/>
              <w:rPr>
                <w:rFonts w:ascii="黑体" w:eastAsia="黑体" w:hAnsi="黑体"/>
                <w:bCs/>
                <w:sz w:val="24"/>
              </w:rPr>
            </w:pPr>
            <w:r>
              <w:rPr>
                <w:rFonts w:ascii="黑体" w:eastAsia="黑体" w:hAnsi="黑体" w:cs="楷体" w:hint="eastAsia"/>
                <w:bCs/>
                <w:sz w:val="24"/>
              </w:rPr>
              <w:t>新产品销售收入占主营业务收入的比重</w:t>
            </w:r>
          </w:p>
        </w:tc>
        <w:tc>
          <w:tcPr>
            <w:tcW w:w="1687" w:type="dxa"/>
            <w:vAlign w:val="center"/>
          </w:tcPr>
          <w:p w:rsidR="006061BF" w:rsidRDefault="00F13AF9">
            <w:pPr>
              <w:adjustRightInd w:val="0"/>
              <w:snapToGrid w:val="0"/>
              <w:jc w:val="center"/>
              <w:rPr>
                <w:rFonts w:ascii="黑体" w:eastAsia="黑体" w:hAnsi="黑体"/>
                <w:bCs/>
                <w:sz w:val="24"/>
              </w:rPr>
            </w:pPr>
            <w:r>
              <w:rPr>
                <w:rFonts w:ascii="黑体" w:eastAsia="黑体" w:hAnsi="黑体" w:cs="楷体" w:hint="eastAsia"/>
                <w:bCs/>
                <w:sz w:val="24"/>
              </w:rPr>
              <w:t>新产品销售利润占利润总额的比重</w:t>
            </w:r>
          </w:p>
        </w:tc>
      </w:tr>
      <w:tr w:rsidR="006061BF">
        <w:trPr>
          <w:trHeight w:val="680"/>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文教、工美、体育和娱乐用品制 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74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687"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r>
      <w:tr w:rsidR="006061BF">
        <w:trPr>
          <w:trHeight w:val="552"/>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石油加工、炼焦和核燃料加工业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2.5</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2.0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52"/>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化学原料和化学制品制造业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52"/>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医药制造业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0.8</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52"/>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化学纤维制造业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橡胶和塑料制品业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非金属矿物制品业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黑色金属冶炼和压延加工业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有色金属冶炼和压延加工业 </w:t>
            </w:r>
          </w:p>
        </w:tc>
        <w:tc>
          <w:tcPr>
            <w:tcW w:w="1801" w:type="dxa"/>
            <w:vAlign w:val="center"/>
          </w:tcPr>
          <w:p w:rsidR="006061BF" w:rsidRDefault="00F13AF9">
            <w:pPr>
              <w:pStyle w:val="Default"/>
              <w:snapToGrid w:val="0"/>
              <w:spacing w:before="140"/>
              <w:jc w:val="center"/>
              <w:rPr>
                <w:rFonts w:ascii="仿宋_GB2312" w:eastAsia="仿宋_GB2312" w:hint="eastAsia"/>
                <w:sz w:val="21"/>
              </w:rPr>
            </w:pPr>
            <w:r>
              <w:rPr>
                <w:rFonts w:ascii="仿宋_GB2312" w:eastAsia="仿宋_GB2312" w:hint="eastAsia"/>
                <w:sz w:val="21"/>
              </w:rPr>
              <w:t>1.2</w:t>
            </w:r>
          </w:p>
        </w:tc>
        <w:tc>
          <w:tcPr>
            <w:tcW w:w="174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1.2</w:t>
            </w:r>
          </w:p>
        </w:tc>
        <w:tc>
          <w:tcPr>
            <w:tcW w:w="168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金属制品业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通用设备制造业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专用设备制造业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汽车制造业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680"/>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铁路、船舶、航空航天和其他运 输设备制造业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0.8</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电气机械和器材制造业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0.8</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680"/>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计算机、通信和其他电子设备制 造业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0.8</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仪器仪表制造业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0.8</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0.8</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电力、热力生产和供应业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2.5</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3.0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3.0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房屋建筑业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 xml:space="preserve">建筑安装业 </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lastRenderedPageBreak/>
              <w:t>土木工程建筑业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2.0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软件和信息技术服务业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1.2</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1.2</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专业技术服务业</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1.0</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节能环保</w:t>
            </w:r>
          </w:p>
        </w:tc>
        <w:tc>
          <w:tcPr>
            <w:tcW w:w="1801" w:type="dxa"/>
            <w:vAlign w:val="center"/>
          </w:tcPr>
          <w:p w:rsidR="006061BF" w:rsidRDefault="00F13AF9">
            <w:pPr>
              <w:pStyle w:val="Default"/>
              <w:snapToGrid w:val="0"/>
              <w:spacing w:before="140"/>
              <w:jc w:val="center"/>
              <w:rPr>
                <w:rFonts w:ascii="仿宋_GB2312" w:eastAsia="仿宋_GB2312" w:hint="eastAsia"/>
                <w:sz w:val="21"/>
              </w:rPr>
            </w:pPr>
            <w:r>
              <w:rPr>
                <w:rFonts w:ascii="仿宋_GB2312" w:eastAsia="仿宋_GB2312" w:hint="eastAsia"/>
                <w:sz w:val="21"/>
              </w:rPr>
              <w:t>1.2</w:t>
            </w:r>
          </w:p>
        </w:tc>
        <w:tc>
          <w:tcPr>
            <w:tcW w:w="174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1.0</w:t>
            </w:r>
          </w:p>
        </w:tc>
      </w:tr>
      <w:tr w:rsidR="006061BF">
        <w:trPr>
          <w:trHeight w:val="588"/>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新材料</w:t>
            </w:r>
          </w:p>
        </w:tc>
        <w:tc>
          <w:tcPr>
            <w:tcW w:w="1801" w:type="dxa"/>
            <w:vAlign w:val="center"/>
          </w:tcPr>
          <w:p w:rsidR="006061BF" w:rsidRDefault="00F13AF9">
            <w:pPr>
              <w:pStyle w:val="Default"/>
              <w:snapToGrid w:val="0"/>
              <w:spacing w:before="140"/>
              <w:jc w:val="center"/>
              <w:rPr>
                <w:rFonts w:ascii="仿宋_GB2312" w:eastAsia="仿宋_GB2312" w:hint="eastAsia"/>
                <w:sz w:val="21"/>
              </w:rPr>
            </w:pPr>
            <w:r>
              <w:rPr>
                <w:rFonts w:ascii="仿宋_GB2312" w:eastAsia="仿宋_GB2312" w:hint="eastAsia"/>
                <w:sz w:val="21"/>
              </w:rPr>
              <w:t>1.2</w:t>
            </w:r>
          </w:p>
        </w:tc>
        <w:tc>
          <w:tcPr>
            <w:tcW w:w="174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1.0</w:t>
            </w:r>
          </w:p>
        </w:tc>
        <w:tc>
          <w:tcPr>
            <w:tcW w:w="1687" w:type="dxa"/>
            <w:vAlign w:val="center"/>
          </w:tcPr>
          <w:p w:rsidR="006061BF" w:rsidRDefault="00F13AF9">
            <w:pPr>
              <w:widowControl/>
              <w:adjustRightInd w:val="0"/>
              <w:snapToGrid w:val="0"/>
              <w:jc w:val="center"/>
              <w:rPr>
                <w:rFonts w:ascii="仿宋_GB2312" w:eastAsia="仿宋_GB2312" w:hint="eastAsia"/>
              </w:rPr>
            </w:pPr>
            <w:r>
              <w:rPr>
                <w:rFonts w:ascii="仿宋_GB2312" w:eastAsia="仿宋_GB2312" w:hint="eastAsia"/>
              </w:rPr>
              <w:t>1.0</w:t>
            </w:r>
          </w:p>
        </w:tc>
      </w:tr>
      <w:tr w:rsidR="006061BF">
        <w:trPr>
          <w:trHeight w:val="607"/>
          <w:jc w:val="center"/>
        </w:trPr>
        <w:tc>
          <w:tcPr>
            <w:tcW w:w="3385" w:type="dxa"/>
            <w:vAlign w:val="center"/>
          </w:tcPr>
          <w:p w:rsidR="006061BF" w:rsidRDefault="00F13AF9">
            <w:pPr>
              <w:pStyle w:val="Default"/>
              <w:snapToGrid w:val="0"/>
              <w:spacing w:before="140"/>
              <w:rPr>
                <w:rFonts w:ascii="仿宋_GB2312" w:eastAsia="仿宋_GB2312" w:hint="eastAsia"/>
                <w:sz w:val="21"/>
              </w:rPr>
            </w:pPr>
            <w:r>
              <w:rPr>
                <w:rFonts w:ascii="仿宋_GB2312" w:eastAsia="仿宋_GB2312" w:hint="eastAsia"/>
                <w:sz w:val="21"/>
              </w:rPr>
              <w:t>其他</w:t>
            </w:r>
          </w:p>
        </w:tc>
        <w:tc>
          <w:tcPr>
            <w:tcW w:w="1801" w:type="dxa"/>
            <w:vAlign w:val="center"/>
          </w:tcPr>
          <w:p w:rsidR="006061BF" w:rsidRDefault="00F13AF9">
            <w:pPr>
              <w:pStyle w:val="Default"/>
              <w:snapToGrid w:val="0"/>
              <w:spacing w:before="140"/>
              <w:jc w:val="center"/>
              <w:rPr>
                <w:rFonts w:ascii="仿宋_GB2312" w:eastAsia="仿宋_GB2312" w:hAnsi="宋体"/>
              </w:rPr>
            </w:pPr>
            <w:r>
              <w:rPr>
                <w:rFonts w:ascii="仿宋_GB2312" w:eastAsia="仿宋_GB2312" w:hint="eastAsia"/>
                <w:sz w:val="21"/>
              </w:rPr>
              <w:t>1.5</w:t>
            </w:r>
          </w:p>
        </w:tc>
        <w:tc>
          <w:tcPr>
            <w:tcW w:w="174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int="eastAsia"/>
              </w:rPr>
              <w:t>1.5</w:t>
            </w:r>
          </w:p>
        </w:tc>
        <w:tc>
          <w:tcPr>
            <w:tcW w:w="1687" w:type="dxa"/>
            <w:vAlign w:val="center"/>
          </w:tcPr>
          <w:p w:rsidR="006061BF" w:rsidRDefault="00F13AF9">
            <w:pPr>
              <w:widowControl/>
              <w:adjustRightInd w:val="0"/>
              <w:snapToGrid w:val="0"/>
              <w:jc w:val="center"/>
              <w:rPr>
                <w:rFonts w:ascii="仿宋_GB2312" w:eastAsia="仿宋_GB2312" w:hAnsi="宋体"/>
                <w:bCs/>
                <w:sz w:val="24"/>
              </w:rPr>
            </w:pPr>
            <w:r>
              <w:rPr>
                <w:rFonts w:ascii="仿宋_GB2312" w:eastAsia="仿宋_GB2312" w:hAnsi="宋体" w:hint="eastAsia"/>
                <w:bCs/>
              </w:rPr>
              <w:t>1.0</w:t>
            </w:r>
          </w:p>
        </w:tc>
      </w:tr>
    </w:tbl>
    <w:p w:rsidR="006061BF" w:rsidRDefault="006061BF">
      <w:pPr>
        <w:autoSpaceDE w:val="0"/>
        <w:autoSpaceDN w:val="0"/>
        <w:adjustRightInd w:val="0"/>
        <w:snapToGrid w:val="0"/>
        <w:ind w:firstLineChars="150" w:firstLine="480"/>
        <w:rPr>
          <w:rFonts w:ascii="黑体" w:eastAsia="黑体" w:cs="仿宋_GB2312" w:hint="eastAsia"/>
          <w:color w:val="000000"/>
          <w:kern w:val="0"/>
          <w:sz w:val="32"/>
          <w:szCs w:val="32"/>
        </w:rPr>
      </w:pPr>
    </w:p>
    <w:p w:rsidR="006061BF" w:rsidRDefault="00F13AF9">
      <w:pPr>
        <w:autoSpaceDE w:val="0"/>
        <w:autoSpaceDN w:val="0"/>
        <w:adjustRightInd w:val="0"/>
        <w:snapToGrid w:val="0"/>
        <w:ind w:firstLineChars="150" w:firstLine="420"/>
        <w:rPr>
          <w:rFonts w:ascii="黑体" w:eastAsia="黑体" w:cs="仿宋_GB2312" w:hint="eastAsia"/>
          <w:color w:val="000000"/>
          <w:kern w:val="0"/>
          <w:sz w:val="28"/>
          <w:szCs w:val="28"/>
        </w:rPr>
      </w:pPr>
      <w:r>
        <w:rPr>
          <w:rFonts w:ascii="黑体" w:eastAsia="黑体" w:cs="仿宋_GB2312" w:hint="eastAsia"/>
          <w:color w:val="000000"/>
          <w:kern w:val="0"/>
          <w:sz w:val="28"/>
          <w:szCs w:val="28"/>
        </w:rPr>
        <w:t xml:space="preserve">有关说明： </w:t>
      </w:r>
    </w:p>
    <w:p w:rsidR="006061BF" w:rsidRDefault="00F13AF9">
      <w:pPr>
        <w:autoSpaceDE w:val="0"/>
        <w:autoSpaceDN w:val="0"/>
        <w:adjustRightInd w:val="0"/>
        <w:snapToGrid w:val="0"/>
        <w:spacing w:line="360" w:lineRule="exact"/>
        <w:ind w:leftChars="5" w:left="10" w:firstLineChars="219" w:firstLine="526"/>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t>1</w:t>
      </w:r>
      <w:r>
        <w:rPr>
          <w:rFonts w:ascii="楷体_GB2312" w:eastAsia="楷体_GB2312" w:hAnsi="宋体" w:hint="eastAsia"/>
          <w:sz w:val="24"/>
          <w:szCs w:val="28"/>
        </w:rPr>
        <w:t>．</w:t>
      </w:r>
      <w:r>
        <w:rPr>
          <w:rFonts w:ascii="楷体_GB2312" w:eastAsia="楷体_GB2312" w:hAnsi="宋体" w:cs="仿宋_GB2312" w:hint="eastAsia"/>
          <w:color w:val="000000"/>
          <w:kern w:val="0"/>
          <w:sz w:val="24"/>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rsidR="006061BF" w:rsidRDefault="00F13AF9">
      <w:pPr>
        <w:autoSpaceDE w:val="0"/>
        <w:autoSpaceDN w:val="0"/>
        <w:adjustRightInd w:val="0"/>
        <w:snapToGrid w:val="0"/>
        <w:spacing w:line="360" w:lineRule="exact"/>
        <w:ind w:leftChars="5" w:left="10" w:firstLineChars="219" w:firstLine="526"/>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t>2</w:t>
      </w:r>
      <w:r>
        <w:rPr>
          <w:rFonts w:ascii="楷体_GB2312" w:eastAsia="楷体_GB2312" w:hAnsi="宋体" w:hint="eastAsia"/>
          <w:sz w:val="24"/>
          <w:szCs w:val="28"/>
        </w:rPr>
        <w:t>．</w:t>
      </w:r>
      <w:r>
        <w:rPr>
          <w:rFonts w:ascii="楷体_GB2312" w:eastAsia="楷体_GB2312" w:hAnsi="宋体" w:cs="仿宋_GB2312" w:hint="eastAsia"/>
          <w:color w:val="000000"/>
          <w:kern w:val="0"/>
          <w:sz w:val="24"/>
        </w:rPr>
        <w:t>行业系数主要依据已认定省企业技术中心评价数据、大型工业企业统计数据测算得到。</w:t>
      </w:r>
    </w:p>
    <w:p w:rsidR="006061BF" w:rsidRDefault="00F13AF9">
      <w:pPr>
        <w:autoSpaceDE w:val="0"/>
        <w:autoSpaceDN w:val="0"/>
        <w:adjustRightInd w:val="0"/>
        <w:snapToGrid w:val="0"/>
        <w:spacing w:line="360" w:lineRule="exact"/>
        <w:ind w:leftChars="5" w:left="10" w:firstLineChars="219" w:firstLine="526"/>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t>3</w:t>
      </w:r>
      <w:r>
        <w:rPr>
          <w:rFonts w:ascii="楷体_GB2312" w:eastAsia="楷体_GB2312" w:hAnsi="宋体" w:hint="eastAsia"/>
          <w:sz w:val="24"/>
          <w:szCs w:val="28"/>
        </w:rPr>
        <w:t>．</w:t>
      </w:r>
      <w:r>
        <w:rPr>
          <w:rFonts w:ascii="楷体_GB2312" w:eastAsia="楷体_GB2312" w:hAnsi="宋体" w:cs="仿宋_GB2312" w:hint="eastAsia"/>
          <w:color w:val="000000"/>
          <w:kern w:val="0"/>
          <w:sz w:val="24"/>
        </w:rPr>
        <w:t>行业系数只作为第三方评估机构评价时使用，企业填报时无需考虑行业系数，按实际数据填报。评价时，根据企业填报的实际数据计算得出上述指标的比重，再乘以行业系数，得出指标的评价值。</w:t>
      </w:r>
    </w:p>
    <w:p w:rsidR="006061BF" w:rsidRDefault="00F13AF9">
      <w:pPr>
        <w:autoSpaceDE w:val="0"/>
        <w:autoSpaceDN w:val="0"/>
        <w:adjustRightInd w:val="0"/>
        <w:snapToGrid w:val="0"/>
        <w:spacing w:line="360" w:lineRule="exact"/>
        <w:ind w:leftChars="5" w:left="10" w:firstLineChars="219" w:firstLine="526"/>
        <w:rPr>
          <w:rFonts w:ascii="楷体_GB2312" w:eastAsia="楷体_GB2312" w:cs="仿宋_GB2312" w:hint="eastAsia"/>
          <w:color w:val="000000"/>
          <w:kern w:val="0"/>
          <w:sz w:val="28"/>
          <w:szCs w:val="28"/>
        </w:rPr>
      </w:pPr>
      <w:r>
        <w:rPr>
          <w:rFonts w:ascii="楷体_GB2312" w:eastAsia="楷体_GB2312" w:hAnsi="宋体" w:cs="仿宋_GB2312" w:hint="eastAsia"/>
          <w:color w:val="000000"/>
          <w:kern w:val="0"/>
          <w:sz w:val="24"/>
        </w:rPr>
        <w:t>4</w:t>
      </w:r>
      <w:r>
        <w:rPr>
          <w:rFonts w:ascii="楷体_GB2312" w:eastAsia="楷体_GB2312" w:hAnsi="宋体" w:hint="eastAsia"/>
          <w:sz w:val="24"/>
          <w:szCs w:val="28"/>
        </w:rPr>
        <w:t>．</w:t>
      </w:r>
      <w:r>
        <w:rPr>
          <w:rFonts w:ascii="楷体_GB2312" w:eastAsia="楷体_GB2312" w:hAnsi="宋体" w:cs="仿宋_GB2312" w:hint="eastAsia"/>
          <w:color w:val="000000"/>
          <w:kern w:val="0"/>
          <w:sz w:val="24"/>
        </w:rPr>
        <w:t>行业系数表中的“其他”行业包括“交通运输、仓储和邮政业”、“文化、体育和娱乐业”以及“新业态”等行业。</w:t>
      </w:r>
    </w:p>
    <w:p w:rsidR="006061BF" w:rsidRDefault="00F13AF9" w:rsidP="007D47CC">
      <w:pPr>
        <w:widowControl/>
        <w:adjustRightInd w:val="0"/>
        <w:snapToGrid w:val="0"/>
        <w:spacing w:beforeLines="50" w:afterLines="50"/>
        <w:ind w:firstLineChars="196" w:firstLine="627"/>
        <w:rPr>
          <w:rFonts w:ascii="黑体" w:eastAsia="黑体" w:hAnsi="黑体" w:cs="黑体"/>
          <w:sz w:val="32"/>
          <w:szCs w:val="32"/>
        </w:rPr>
      </w:pPr>
      <w:r>
        <w:rPr>
          <w:rFonts w:ascii="黑体" w:eastAsia="黑体" w:hAnsi="黑体" w:cs="黑体" w:hint="eastAsia"/>
          <w:sz w:val="32"/>
          <w:szCs w:val="32"/>
        </w:rPr>
        <w:t>三、限定性指标的最低标准</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3"/>
        <w:gridCol w:w="1635"/>
        <w:gridCol w:w="1625"/>
        <w:gridCol w:w="1701"/>
        <w:gridCol w:w="1711"/>
      </w:tblGrid>
      <w:tr w:rsidR="006061BF">
        <w:trPr>
          <w:trHeight w:val="689"/>
          <w:jc w:val="center"/>
        </w:trPr>
        <w:tc>
          <w:tcPr>
            <w:tcW w:w="2083" w:type="dxa"/>
            <w:vAlign w:val="center"/>
          </w:tcPr>
          <w:p w:rsidR="006061BF" w:rsidRDefault="006061BF">
            <w:pPr>
              <w:autoSpaceDE w:val="0"/>
              <w:autoSpaceDN w:val="0"/>
              <w:adjustRightInd w:val="0"/>
              <w:snapToGrid w:val="0"/>
              <w:jc w:val="center"/>
              <w:rPr>
                <w:rFonts w:ascii="黑体" w:eastAsia="黑体" w:hAnsi="黑体" w:cs="宋体"/>
                <w:szCs w:val="21"/>
                <w:lang w:val="zh-CN"/>
              </w:rPr>
            </w:pPr>
          </w:p>
        </w:tc>
        <w:tc>
          <w:tcPr>
            <w:tcW w:w="1635" w:type="dxa"/>
            <w:vAlign w:val="center"/>
          </w:tcPr>
          <w:p w:rsidR="006061BF" w:rsidRDefault="00F13AF9">
            <w:pPr>
              <w:autoSpaceDE w:val="0"/>
              <w:autoSpaceDN w:val="0"/>
              <w:adjustRightInd w:val="0"/>
              <w:snapToGrid w:val="0"/>
              <w:jc w:val="center"/>
              <w:rPr>
                <w:rFonts w:ascii="黑体" w:eastAsia="黑体" w:hAnsi="黑体" w:cs="宋体"/>
                <w:bCs/>
                <w:szCs w:val="21"/>
                <w:lang w:val="zh-CN"/>
              </w:rPr>
            </w:pPr>
            <w:r>
              <w:rPr>
                <w:rFonts w:ascii="黑体" w:eastAsia="黑体" w:hAnsi="黑体" w:cs="宋体" w:hint="eastAsia"/>
                <w:bCs/>
                <w:szCs w:val="21"/>
                <w:lang w:val="zh-CN"/>
              </w:rPr>
              <w:t>标</w:t>
            </w:r>
            <w:r>
              <w:rPr>
                <w:rFonts w:ascii="黑体" w:eastAsia="黑体" w:hAnsi="黑体" w:cs="宋体" w:hint="eastAsia"/>
                <w:bCs/>
                <w:szCs w:val="21"/>
              </w:rPr>
              <w:t xml:space="preserve"> </w:t>
            </w:r>
            <w:r>
              <w:rPr>
                <w:rFonts w:ascii="黑体" w:eastAsia="黑体" w:hAnsi="黑体" w:cs="宋体" w:hint="eastAsia"/>
                <w:bCs/>
                <w:szCs w:val="21"/>
                <w:lang w:val="zh-CN"/>
              </w:rPr>
              <w:t>准</w:t>
            </w:r>
          </w:p>
        </w:tc>
        <w:tc>
          <w:tcPr>
            <w:tcW w:w="1625" w:type="dxa"/>
            <w:vAlign w:val="center"/>
          </w:tcPr>
          <w:p w:rsidR="006061BF" w:rsidRDefault="00F13AF9">
            <w:pPr>
              <w:autoSpaceDE w:val="0"/>
              <w:autoSpaceDN w:val="0"/>
              <w:adjustRightInd w:val="0"/>
              <w:snapToGrid w:val="0"/>
              <w:jc w:val="center"/>
              <w:rPr>
                <w:rFonts w:ascii="黑体" w:eastAsia="黑体" w:hAnsi="黑体" w:cs="宋体"/>
                <w:bCs/>
                <w:szCs w:val="21"/>
                <w:lang w:val="zh-CN"/>
              </w:rPr>
            </w:pPr>
            <w:r>
              <w:rPr>
                <w:rFonts w:ascii="黑体" w:eastAsia="黑体" w:hAnsi="黑体" w:cs="宋体" w:hint="eastAsia"/>
                <w:bCs/>
                <w:szCs w:val="21"/>
                <w:lang w:val="zh-CN"/>
              </w:rPr>
              <w:t>“专精特新”</w:t>
            </w:r>
          </w:p>
          <w:p w:rsidR="006061BF" w:rsidRDefault="00F13AF9">
            <w:pPr>
              <w:autoSpaceDE w:val="0"/>
              <w:autoSpaceDN w:val="0"/>
              <w:adjustRightInd w:val="0"/>
              <w:snapToGrid w:val="0"/>
              <w:jc w:val="center"/>
              <w:rPr>
                <w:rFonts w:ascii="黑体" w:eastAsia="黑体" w:hAnsi="黑体" w:cs="宋体"/>
                <w:bCs/>
                <w:szCs w:val="21"/>
                <w:lang w:val="zh-CN"/>
              </w:rPr>
            </w:pPr>
            <w:r>
              <w:rPr>
                <w:rFonts w:ascii="黑体" w:eastAsia="黑体" w:hAnsi="黑体" w:cs="宋体" w:hint="eastAsia"/>
                <w:bCs/>
                <w:szCs w:val="21"/>
                <w:lang w:val="zh-CN"/>
              </w:rPr>
              <w:t>中小企业</w:t>
            </w:r>
          </w:p>
        </w:tc>
        <w:tc>
          <w:tcPr>
            <w:tcW w:w="1701" w:type="dxa"/>
            <w:vAlign w:val="center"/>
          </w:tcPr>
          <w:p w:rsidR="006061BF" w:rsidRDefault="00F13AF9">
            <w:pPr>
              <w:autoSpaceDE w:val="0"/>
              <w:autoSpaceDN w:val="0"/>
              <w:adjustRightInd w:val="0"/>
              <w:snapToGrid w:val="0"/>
              <w:jc w:val="center"/>
              <w:rPr>
                <w:rFonts w:ascii="黑体" w:eastAsia="黑体" w:hAnsi="黑体" w:cs="宋体"/>
                <w:bCs/>
                <w:szCs w:val="21"/>
                <w:lang w:val="zh-CN"/>
              </w:rPr>
            </w:pPr>
            <w:r>
              <w:rPr>
                <w:rFonts w:ascii="黑体" w:eastAsia="黑体" w:hAnsi="黑体" w:cs="宋体" w:hint="eastAsia"/>
                <w:bCs/>
                <w:szCs w:val="21"/>
                <w:lang w:val="zh-CN"/>
              </w:rPr>
              <w:t>“新业态”企业</w:t>
            </w:r>
          </w:p>
        </w:tc>
        <w:tc>
          <w:tcPr>
            <w:tcW w:w="1711" w:type="dxa"/>
            <w:vAlign w:val="center"/>
          </w:tcPr>
          <w:p w:rsidR="006061BF" w:rsidRDefault="00F13AF9">
            <w:pPr>
              <w:autoSpaceDE w:val="0"/>
              <w:autoSpaceDN w:val="0"/>
              <w:adjustRightInd w:val="0"/>
              <w:snapToGrid w:val="0"/>
              <w:jc w:val="center"/>
              <w:rPr>
                <w:rFonts w:ascii="黑体" w:eastAsia="黑体" w:hAnsi="黑体" w:cs="宋体"/>
                <w:bCs/>
                <w:spacing w:val="-6"/>
                <w:szCs w:val="21"/>
                <w:lang w:val="zh-CN"/>
              </w:rPr>
            </w:pPr>
            <w:r>
              <w:rPr>
                <w:rFonts w:ascii="黑体" w:eastAsia="黑体" w:hAnsi="黑体" w:cs="宋体" w:hint="eastAsia"/>
                <w:bCs/>
                <w:spacing w:val="-6"/>
                <w:szCs w:val="21"/>
                <w:lang w:val="zh-CN"/>
              </w:rPr>
              <w:t>“特色优势产业”</w:t>
            </w:r>
          </w:p>
          <w:p w:rsidR="006061BF" w:rsidRDefault="00F13AF9">
            <w:pPr>
              <w:autoSpaceDE w:val="0"/>
              <w:autoSpaceDN w:val="0"/>
              <w:adjustRightInd w:val="0"/>
              <w:snapToGrid w:val="0"/>
              <w:jc w:val="center"/>
              <w:rPr>
                <w:rFonts w:ascii="黑体" w:eastAsia="黑体" w:hAnsi="黑体" w:cs="宋体"/>
                <w:bCs/>
                <w:szCs w:val="21"/>
                <w:lang w:val="zh-CN"/>
              </w:rPr>
            </w:pPr>
            <w:r>
              <w:rPr>
                <w:rFonts w:ascii="黑体" w:eastAsia="黑体" w:hAnsi="黑体" w:cs="宋体" w:hint="eastAsia"/>
                <w:bCs/>
                <w:szCs w:val="21"/>
                <w:lang w:val="zh-CN"/>
              </w:rPr>
              <w:t>企业</w:t>
            </w:r>
          </w:p>
        </w:tc>
      </w:tr>
      <w:tr w:rsidR="006061BF">
        <w:trPr>
          <w:trHeight w:val="686"/>
          <w:jc w:val="center"/>
        </w:trPr>
        <w:tc>
          <w:tcPr>
            <w:tcW w:w="2083" w:type="dxa"/>
            <w:vAlign w:val="center"/>
          </w:tcPr>
          <w:p w:rsidR="006061BF" w:rsidRDefault="00F13AF9">
            <w:pPr>
              <w:autoSpaceDE w:val="0"/>
              <w:autoSpaceDN w:val="0"/>
              <w:adjustRightInd w:val="0"/>
              <w:snapToGrid w:val="0"/>
              <w:jc w:val="center"/>
              <w:rPr>
                <w:rFonts w:ascii="仿宋_GB2312" w:eastAsia="仿宋_GB2312" w:hAnsi="楷体" w:cs="宋体"/>
                <w:bCs/>
                <w:szCs w:val="21"/>
                <w:lang w:val="zh-CN"/>
              </w:rPr>
            </w:pPr>
            <w:r>
              <w:rPr>
                <w:rFonts w:ascii="仿宋_GB2312" w:eastAsia="仿宋_GB2312" w:hAnsi="楷体" w:cs="宋体" w:hint="eastAsia"/>
                <w:bCs/>
                <w:szCs w:val="21"/>
              </w:rPr>
              <w:t>年度研究与试验发展经费支出额</w:t>
            </w:r>
          </w:p>
        </w:tc>
        <w:tc>
          <w:tcPr>
            <w:tcW w:w="1635"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不低于100万元</w:t>
            </w:r>
          </w:p>
        </w:tc>
        <w:tc>
          <w:tcPr>
            <w:tcW w:w="1625" w:type="dxa"/>
            <w:vAlign w:val="center"/>
          </w:tcPr>
          <w:p w:rsidR="006061BF" w:rsidRDefault="00F13AF9">
            <w:pPr>
              <w:autoSpaceDE w:val="0"/>
              <w:autoSpaceDN w:val="0"/>
              <w:adjustRightInd w:val="0"/>
              <w:snapToGrid w:val="0"/>
              <w:jc w:val="center"/>
              <w:rPr>
                <w:rFonts w:ascii="仿宋_GB2312" w:eastAsia="仿宋_GB2312" w:hAnsi="宋体" w:cs="宋体"/>
                <w:szCs w:val="21"/>
              </w:rPr>
            </w:pPr>
            <w:r>
              <w:rPr>
                <w:rFonts w:ascii="仿宋_GB2312" w:eastAsia="仿宋_GB2312" w:cs="仿宋_GB2312" w:hint="eastAsia"/>
                <w:color w:val="000000"/>
                <w:kern w:val="0"/>
                <w:szCs w:val="21"/>
              </w:rPr>
              <w:t>不低于50万元</w:t>
            </w:r>
          </w:p>
        </w:tc>
        <w:tc>
          <w:tcPr>
            <w:tcW w:w="170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不低于100万元</w:t>
            </w:r>
          </w:p>
        </w:tc>
        <w:tc>
          <w:tcPr>
            <w:tcW w:w="171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不低于50万元</w:t>
            </w:r>
          </w:p>
        </w:tc>
      </w:tr>
      <w:tr w:rsidR="006061BF">
        <w:trPr>
          <w:trHeight w:val="710"/>
          <w:jc w:val="center"/>
        </w:trPr>
        <w:tc>
          <w:tcPr>
            <w:tcW w:w="2083" w:type="dxa"/>
            <w:vAlign w:val="center"/>
          </w:tcPr>
          <w:p w:rsidR="006061BF" w:rsidRDefault="00F13AF9">
            <w:pPr>
              <w:autoSpaceDE w:val="0"/>
              <w:autoSpaceDN w:val="0"/>
              <w:adjustRightInd w:val="0"/>
              <w:snapToGrid w:val="0"/>
              <w:jc w:val="center"/>
              <w:rPr>
                <w:rFonts w:ascii="仿宋_GB2312" w:eastAsia="仿宋_GB2312" w:hAnsi="楷体" w:cs="宋体"/>
                <w:bCs/>
                <w:szCs w:val="21"/>
                <w:lang w:val="zh-CN"/>
              </w:rPr>
            </w:pPr>
            <w:r>
              <w:rPr>
                <w:rFonts w:ascii="仿宋_GB2312" w:eastAsia="仿宋_GB2312" w:hAnsi="楷体" w:cs="宋体" w:hint="eastAsia"/>
                <w:bCs/>
                <w:szCs w:val="21"/>
              </w:rPr>
              <w:t>年度研究与试验发展人员</w:t>
            </w:r>
          </w:p>
        </w:tc>
        <w:tc>
          <w:tcPr>
            <w:tcW w:w="1635"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不少于15人</w:t>
            </w:r>
          </w:p>
        </w:tc>
        <w:tc>
          <w:tcPr>
            <w:tcW w:w="1625"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不少于10人</w:t>
            </w:r>
          </w:p>
        </w:tc>
        <w:tc>
          <w:tcPr>
            <w:tcW w:w="170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不少于12人</w:t>
            </w:r>
          </w:p>
        </w:tc>
        <w:tc>
          <w:tcPr>
            <w:tcW w:w="171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不少于12人</w:t>
            </w:r>
          </w:p>
        </w:tc>
      </w:tr>
      <w:tr w:rsidR="006061BF">
        <w:trPr>
          <w:jc w:val="center"/>
        </w:trPr>
        <w:tc>
          <w:tcPr>
            <w:tcW w:w="2083" w:type="dxa"/>
            <w:vAlign w:val="center"/>
          </w:tcPr>
          <w:p w:rsidR="006061BF" w:rsidRDefault="00F13AF9">
            <w:pPr>
              <w:autoSpaceDE w:val="0"/>
              <w:autoSpaceDN w:val="0"/>
              <w:adjustRightInd w:val="0"/>
              <w:snapToGrid w:val="0"/>
              <w:jc w:val="center"/>
              <w:rPr>
                <w:rFonts w:ascii="仿宋_GB2312" w:eastAsia="仿宋_GB2312" w:hAnsi="楷体" w:cs="宋体"/>
                <w:bCs/>
                <w:szCs w:val="21"/>
              </w:rPr>
            </w:pPr>
            <w:r>
              <w:rPr>
                <w:rFonts w:ascii="仿宋_GB2312" w:eastAsia="仿宋_GB2312" w:hAnsi="楷体" w:cs="宋体" w:hint="eastAsia"/>
                <w:bCs/>
                <w:szCs w:val="21"/>
              </w:rPr>
              <w:t>年度技术开发仪器设备原值</w:t>
            </w:r>
          </w:p>
        </w:tc>
        <w:tc>
          <w:tcPr>
            <w:tcW w:w="1635"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不低于500万元</w:t>
            </w:r>
          </w:p>
        </w:tc>
        <w:tc>
          <w:tcPr>
            <w:tcW w:w="1625"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不低于200万元</w:t>
            </w:r>
          </w:p>
        </w:tc>
        <w:tc>
          <w:tcPr>
            <w:tcW w:w="170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不低于200万元</w:t>
            </w:r>
          </w:p>
        </w:tc>
        <w:tc>
          <w:tcPr>
            <w:tcW w:w="1711" w:type="dxa"/>
            <w:vAlign w:val="center"/>
          </w:tcPr>
          <w:p w:rsidR="006061BF" w:rsidRDefault="00F13AF9">
            <w:pPr>
              <w:autoSpaceDE w:val="0"/>
              <w:autoSpaceDN w:val="0"/>
              <w:adjustRightInd w:val="0"/>
              <w:snapToGrid w:val="0"/>
              <w:jc w:val="center"/>
              <w:rPr>
                <w:rFonts w:ascii="仿宋_GB2312" w:eastAsia="仿宋_GB2312" w:hAnsi="宋体" w:cs="宋体"/>
                <w:szCs w:val="21"/>
                <w:lang w:val="zh-CN"/>
              </w:rPr>
            </w:pPr>
            <w:r>
              <w:rPr>
                <w:rFonts w:ascii="仿宋_GB2312" w:eastAsia="仿宋_GB2312" w:cs="仿宋_GB2312" w:hint="eastAsia"/>
                <w:color w:val="000000"/>
                <w:kern w:val="0"/>
                <w:szCs w:val="21"/>
              </w:rPr>
              <w:t>不低于200万元</w:t>
            </w:r>
          </w:p>
        </w:tc>
      </w:tr>
      <w:tr w:rsidR="006061BF">
        <w:trPr>
          <w:trHeight w:val="1564"/>
          <w:jc w:val="center"/>
        </w:trPr>
        <w:tc>
          <w:tcPr>
            <w:tcW w:w="2083" w:type="dxa"/>
            <w:vAlign w:val="center"/>
          </w:tcPr>
          <w:p w:rsidR="006061BF" w:rsidRDefault="00F13AF9">
            <w:pPr>
              <w:autoSpaceDE w:val="0"/>
              <w:autoSpaceDN w:val="0"/>
              <w:adjustRightInd w:val="0"/>
              <w:snapToGrid w:val="0"/>
              <w:jc w:val="center"/>
              <w:rPr>
                <w:rFonts w:ascii="仿宋_GB2312" w:eastAsia="仿宋_GB2312" w:hAnsi="楷体" w:cs="宋体"/>
                <w:bCs/>
                <w:szCs w:val="21"/>
              </w:rPr>
            </w:pPr>
            <w:r>
              <w:rPr>
                <w:rFonts w:ascii="仿宋_GB2312" w:eastAsia="仿宋_GB2312" w:hAnsi="楷体" w:cs="宋体" w:hint="eastAsia"/>
                <w:bCs/>
                <w:szCs w:val="21"/>
              </w:rPr>
              <w:t>专  利</w:t>
            </w:r>
          </w:p>
        </w:tc>
        <w:tc>
          <w:tcPr>
            <w:tcW w:w="6672" w:type="dxa"/>
            <w:gridSpan w:val="4"/>
            <w:vAlign w:val="center"/>
          </w:tcPr>
          <w:p w:rsidR="006061BF" w:rsidRDefault="00F13AF9">
            <w:pPr>
              <w:autoSpaceDE w:val="0"/>
              <w:autoSpaceDN w:val="0"/>
              <w:adjustRightInd w:val="0"/>
              <w:snapToGrid w:val="0"/>
              <w:jc w:val="left"/>
              <w:rPr>
                <w:rFonts w:ascii="仿宋_GB2312" w:eastAsia="仿宋_GB2312" w:cs="仿宋_GB2312" w:hint="eastAsia"/>
                <w:color w:val="000000"/>
                <w:kern w:val="0"/>
                <w:szCs w:val="21"/>
              </w:rPr>
            </w:pPr>
            <w:r>
              <w:rPr>
                <w:rFonts w:ascii="仿宋_GB2312" w:eastAsia="仿宋_GB2312" w:hAnsi="宋体" w:cs="宋体" w:hint="eastAsia"/>
                <w:color w:val="000000"/>
                <w:kern w:val="0"/>
                <w:szCs w:val="21"/>
                <w:lang w:val="zh-CN"/>
              </w:rPr>
              <w:t>至少拥有1件以上有效发明专利（含国防专利或拥有20件以上软件著作权）、植物新品种、国家级农作物品种、国家新药、国家一级中药保护品种、集成电路布图设计专有权、国家级工法。或大数据企业拥有5件及以上实用新型（</w:t>
            </w:r>
            <w:r>
              <w:rPr>
                <w:rFonts w:ascii="仿宋_GB2312" w:eastAsia="仿宋_GB2312" w:hAnsi="宋体" w:cs="宋体" w:hint="eastAsia"/>
                <w:color w:val="000000"/>
                <w:kern w:val="0"/>
                <w:szCs w:val="21"/>
              </w:rPr>
              <w:t>必须与企业主营业务高度关联的专利</w:t>
            </w:r>
            <w:r>
              <w:rPr>
                <w:rFonts w:ascii="仿宋_GB2312" w:eastAsia="仿宋_GB2312" w:hAnsi="宋体" w:cs="宋体" w:hint="eastAsia"/>
                <w:color w:val="000000"/>
                <w:kern w:val="0"/>
                <w:szCs w:val="21"/>
                <w:lang w:val="zh-CN"/>
              </w:rPr>
              <w:t>）等同为一件发明专利、或软件企业通过CMMI-3及以上等级认定。</w:t>
            </w:r>
          </w:p>
        </w:tc>
      </w:tr>
    </w:tbl>
    <w:p w:rsidR="006061BF" w:rsidRDefault="00F13AF9">
      <w:pPr>
        <w:widowControl/>
        <w:adjustRightInd w:val="0"/>
        <w:snapToGrid w:val="0"/>
        <w:spacing w:line="360" w:lineRule="exact"/>
        <w:ind w:firstLineChars="196" w:firstLine="470"/>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lastRenderedPageBreak/>
        <w:t>注：“专精特新”中小企业是指省以上工信部门下发的“专精特新”鉴定文件中认可的企业。</w:t>
      </w:r>
    </w:p>
    <w:p w:rsidR="006061BF" w:rsidRDefault="00F13AF9">
      <w:pPr>
        <w:widowControl/>
        <w:adjustRightInd w:val="0"/>
        <w:snapToGrid w:val="0"/>
        <w:spacing w:line="360" w:lineRule="exact"/>
        <w:ind w:firstLineChars="196" w:firstLine="470"/>
        <w:rPr>
          <w:rFonts w:ascii="楷体_GB2312" w:eastAsia="楷体_GB2312" w:hAnsi="宋体" w:cs="仿宋_GB2312"/>
          <w:color w:val="000000"/>
          <w:kern w:val="0"/>
          <w:sz w:val="24"/>
        </w:rPr>
      </w:pPr>
      <w:r>
        <w:rPr>
          <w:rFonts w:ascii="楷体_GB2312" w:eastAsia="楷体_GB2312" w:hAnsi="宋体" w:cs="仿宋_GB2312" w:hint="eastAsia"/>
          <w:color w:val="000000"/>
          <w:kern w:val="0"/>
          <w:sz w:val="24"/>
        </w:rPr>
        <w:t>“新业态”企业是指大数据、人工智能、智能汽车、5G等新兴产业领域企业。</w:t>
      </w:r>
    </w:p>
    <w:p w:rsidR="006061BF" w:rsidRDefault="00F13AF9">
      <w:pPr>
        <w:widowControl/>
        <w:adjustRightInd w:val="0"/>
        <w:snapToGrid w:val="0"/>
        <w:spacing w:line="360" w:lineRule="exact"/>
        <w:ind w:firstLineChars="196" w:firstLine="470"/>
        <w:rPr>
          <w:rFonts w:ascii="楷体_GB2312" w:eastAsia="楷体_GB2312" w:cs="仿宋_GB2312" w:hint="eastAsia"/>
          <w:color w:val="000000"/>
          <w:kern w:val="0"/>
          <w:sz w:val="28"/>
          <w:szCs w:val="28"/>
        </w:rPr>
      </w:pPr>
      <w:r>
        <w:rPr>
          <w:rFonts w:ascii="楷体_GB2312" w:eastAsia="楷体_GB2312" w:hAnsi="宋体" w:cs="仿宋_GB2312" w:hint="eastAsia"/>
          <w:color w:val="000000"/>
          <w:kern w:val="0"/>
          <w:sz w:val="24"/>
        </w:rPr>
        <w:t>“特色优势产业”企业是指省委省政府确定的重点发展的优势产业企业，如：白酒、茶、食品加工等。</w:t>
      </w:r>
    </w:p>
    <w:p w:rsidR="006061BF" w:rsidRDefault="00F13AF9">
      <w:pPr>
        <w:widowControl/>
        <w:adjustRightInd w:val="0"/>
        <w:snapToGrid w:val="0"/>
        <w:spacing w:line="560" w:lineRule="exact"/>
        <w:ind w:firstLineChars="196" w:firstLine="627"/>
        <w:rPr>
          <w:rFonts w:hint="eastAsia"/>
          <w:sz w:val="32"/>
          <w:szCs w:val="32"/>
        </w:rPr>
      </w:pPr>
      <w:r>
        <w:rPr>
          <w:rFonts w:ascii="黑体" w:eastAsia="黑体" w:hAnsi="黑体" w:cs="黑体" w:hint="eastAsia"/>
          <w:sz w:val="32"/>
          <w:szCs w:val="32"/>
        </w:rPr>
        <w:t>四、指标体系的完善</w:t>
      </w:r>
      <w:r>
        <w:rPr>
          <w:sz w:val="32"/>
          <w:szCs w:val="32"/>
        </w:rPr>
        <w:t xml:space="preserve"> </w:t>
      </w:r>
    </w:p>
    <w:p w:rsidR="006061BF" w:rsidRDefault="00F13AF9">
      <w:pPr>
        <w:autoSpaceDE w:val="0"/>
        <w:autoSpaceDN w:val="0"/>
        <w:adjustRightInd w:val="0"/>
        <w:snapToGrid w:val="0"/>
        <w:spacing w:line="560" w:lineRule="exact"/>
        <w:ind w:firstLine="56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省工业和信息化厅将根据《国家技术中心认定管理办法》的变动对评价指标、行业系数等进行必要的调整。</w:t>
      </w:r>
    </w:p>
    <w:p w:rsidR="006061BF" w:rsidRDefault="006061BF">
      <w:pPr>
        <w:autoSpaceDE w:val="0"/>
        <w:autoSpaceDN w:val="0"/>
        <w:adjustRightInd w:val="0"/>
        <w:snapToGrid w:val="0"/>
        <w:ind w:firstLine="560"/>
        <w:rPr>
          <w:rFonts w:ascii="仿宋_GB2312" w:eastAsia="仿宋_GB2312" w:cs="仿宋_GB2312" w:hint="eastAsia"/>
          <w:color w:val="000000"/>
          <w:kern w:val="0"/>
          <w:sz w:val="28"/>
          <w:szCs w:val="28"/>
        </w:rPr>
      </w:pPr>
    </w:p>
    <w:p w:rsidR="006061BF" w:rsidRDefault="00F13AF9">
      <w:pPr>
        <w:widowControl/>
        <w:jc w:val="left"/>
        <w:rPr>
          <w:rFonts w:ascii="黑体" w:eastAsia="黑体" w:hAnsi="黑体" w:cs="黑体"/>
          <w:sz w:val="28"/>
          <w:szCs w:val="28"/>
        </w:rPr>
      </w:pPr>
      <w:r>
        <w:rPr>
          <w:rFonts w:ascii="黑体" w:eastAsia="黑体" w:hAnsi="黑体" w:cs="黑体"/>
          <w:sz w:val="28"/>
          <w:szCs w:val="28"/>
        </w:rPr>
        <w:br w:type="page"/>
      </w:r>
    </w:p>
    <w:p w:rsidR="006061BF" w:rsidRDefault="00F13AF9">
      <w:pPr>
        <w:autoSpaceDE w:val="0"/>
        <w:autoSpaceDN w:val="0"/>
        <w:adjustRightInd w:val="0"/>
        <w:snapToGrid w:val="0"/>
        <w:rPr>
          <w:rFonts w:ascii="宋体" w:hAnsi="宋体"/>
          <w:sz w:val="28"/>
          <w:szCs w:val="28"/>
        </w:rPr>
      </w:pPr>
      <w:r>
        <w:rPr>
          <w:rFonts w:ascii="黑体" w:eastAsia="黑体" w:hAnsi="黑体" w:cs="黑体" w:hint="eastAsia"/>
          <w:sz w:val="28"/>
          <w:szCs w:val="28"/>
        </w:rPr>
        <w:lastRenderedPageBreak/>
        <w:t>附件4：</w:t>
      </w:r>
      <w:r>
        <w:rPr>
          <w:rFonts w:ascii="宋体" w:hAnsi="宋体"/>
          <w:sz w:val="28"/>
          <w:szCs w:val="28"/>
        </w:rPr>
        <w:t xml:space="preserve"> </w:t>
      </w:r>
    </w:p>
    <w:p w:rsidR="006061BF" w:rsidRDefault="006061BF">
      <w:pPr>
        <w:autoSpaceDE w:val="0"/>
        <w:autoSpaceDN w:val="0"/>
        <w:adjustRightInd w:val="0"/>
        <w:snapToGrid w:val="0"/>
        <w:jc w:val="center"/>
        <w:rPr>
          <w:rFonts w:ascii="方正小标宋简体" w:eastAsia="方正小标宋简体" w:hAnsi="方正小标宋简体" w:cs="方正小标宋简体"/>
          <w:color w:val="000000"/>
          <w:kern w:val="0"/>
          <w:sz w:val="44"/>
          <w:szCs w:val="44"/>
        </w:rPr>
      </w:pPr>
    </w:p>
    <w:p w:rsidR="006061BF" w:rsidRDefault="00F13AF9">
      <w:pPr>
        <w:autoSpaceDE w:val="0"/>
        <w:autoSpaceDN w:val="0"/>
        <w:adjustRightInd w:val="0"/>
        <w:snapToGrid w:val="0"/>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《贵州省企业技术中心工作总结》</w:t>
      </w:r>
    </w:p>
    <w:p w:rsidR="006061BF" w:rsidRDefault="00F13AF9">
      <w:pPr>
        <w:autoSpaceDE w:val="0"/>
        <w:autoSpaceDN w:val="0"/>
        <w:adjustRightInd w:val="0"/>
        <w:snapToGrid w:val="0"/>
        <w:jc w:val="center"/>
        <w:rPr>
          <w:rFonts w:ascii="方正小标宋_GBK" w:eastAsia="方正小标宋_GBK" w:hAnsi="方正小标宋_GBK" w:cs="方正小标宋_GBK"/>
        </w:rPr>
      </w:pPr>
      <w:r>
        <w:rPr>
          <w:rFonts w:ascii="方正小标宋_GBK" w:eastAsia="方正小标宋_GBK" w:hAnsi="方正小标宋_GBK" w:cs="方正小标宋_GBK" w:hint="eastAsia"/>
          <w:color w:val="000000"/>
          <w:kern w:val="0"/>
          <w:sz w:val="44"/>
          <w:szCs w:val="44"/>
        </w:rPr>
        <w:t>编写提纲</w:t>
      </w:r>
    </w:p>
    <w:p w:rsidR="006061BF" w:rsidRDefault="00F13AF9">
      <w:pPr>
        <w:autoSpaceDE w:val="0"/>
        <w:autoSpaceDN w:val="0"/>
        <w:adjustRightInd w:val="0"/>
        <w:snapToGrid w:val="0"/>
        <w:spacing w:line="560" w:lineRule="exact"/>
        <w:ind w:firstLine="561"/>
        <w:rPr>
          <w:rFonts w:hint="eastAsia"/>
          <w:sz w:val="28"/>
          <w:szCs w:val="28"/>
        </w:rPr>
      </w:pPr>
      <w:r>
        <w:rPr>
          <w:sz w:val="28"/>
          <w:szCs w:val="28"/>
        </w:rPr>
        <w:t xml:space="preserve"> </w:t>
      </w:r>
    </w:p>
    <w:p w:rsidR="006061BF" w:rsidRDefault="00F13AF9">
      <w:pPr>
        <w:autoSpaceDE w:val="0"/>
        <w:autoSpaceDN w:val="0"/>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贵州省企业技术中心需在评价年度提交工作总结，总结近三年企业技术创新与技术中心工作情况。主要包括如下内容：</w:t>
      </w:r>
    </w:p>
    <w:p w:rsidR="006061BF" w:rsidRDefault="00F13AF9">
      <w:pPr>
        <w:autoSpaceDE w:val="0"/>
        <w:autoSpaceDN w:val="0"/>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1．简要分析企业所在行业创新趋势和特点，以及企业在该行业中的地位和竞争优势。</w:t>
      </w:r>
    </w:p>
    <w:p w:rsidR="006061BF" w:rsidRDefault="00F13AF9">
      <w:pPr>
        <w:autoSpaceDE w:val="0"/>
        <w:autoSpaceDN w:val="0"/>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2．企业技术创新体系建设情况，包括企业技术创新体系基本情况、技术中心组织建设、技术中心创新机制建设、产学研合作创新机制建设、信息化建设、企业技术创新基础设施建设等。</w:t>
      </w:r>
    </w:p>
    <w:p w:rsidR="006061BF" w:rsidRDefault="00F13AF9">
      <w:pPr>
        <w:autoSpaceDE w:val="0"/>
        <w:autoSpaceDN w:val="0"/>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3．企业技术创新活动开展情况，包括重点创新项目的组织实施、关键核心技术和产品开发等。</w:t>
      </w:r>
    </w:p>
    <w:p w:rsidR="006061BF" w:rsidRDefault="00F13AF9">
      <w:pPr>
        <w:autoSpaceDE w:val="0"/>
        <w:autoSpaceDN w:val="0"/>
        <w:adjustRightInd w:val="0"/>
        <w:snapToGrid w:val="0"/>
        <w:spacing w:line="56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4．企业技术中心取得的主要创新成果，形成的核心技术及自主知识产权情况，重点介绍相关技术成果对企业核心产品研发、核心竞争力提升的支撑作用，以及取得的经济社会效益。</w:t>
      </w:r>
    </w:p>
    <w:p w:rsidR="006061BF" w:rsidRDefault="00F13AF9">
      <w:pPr>
        <w:autoSpaceDE w:val="0"/>
        <w:autoSpaceDN w:val="0"/>
        <w:adjustRightInd w:val="0"/>
        <w:snapToGrid w:val="0"/>
        <w:spacing w:line="560" w:lineRule="exact"/>
        <w:ind w:firstLineChars="200" w:firstLine="640"/>
        <w:rPr>
          <w:rFonts w:ascii="仿宋_GB2312" w:eastAsia="仿宋_GB2312" w:hAnsi="宋体"/>
          <w:b/>
          <w:color w:val="FF0000"/>
          <w:w w:val="77"/>
          <w:sz w:val="32"/>
          <w:szCs w:val="32"/>
        </w:rPr>
      </w:pPr>
      <w:r>
        <w:rPr>
          <w:rFonts w:ascii="仿宋_GB2312" w:eastAsia="仿宋_GB2312" w:cs="仿宋_GB2312" w:hint="eastAsia"/>
          <w:color w:val="000000"/>
          <w:kern w:val="0"/>
          <w:sz w:val="32"/>
          <w:szCs w:val="32"/>
        </w:rPr>
        <w:t>5．其他有特色的工作情况。</w:t>
      </w:r>
    </w:p>
    <w:sectPr w:rsidR="006061BF" w:rsidSect="006061BF">
      <w:footerReference w:type="even" r:id="rId8"/>
      <w:footerReference w:type="default" r:id="rId9"/>
      <w:pgSz w:w="11906" w:h="16838"/>
      <w:pgMar w:top="1814" w:right="1531" w:bottom="1304" w:left="1531" w:header="851" w:footer="992" w:gutter="0"/>
      <w:pgNumType w:fmt="numberInDash" w:start="1"/>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BB" w:rsidRDefault="008541BB" w:rsidP="006061BF">
      <w:pPr>
        <w:rPr>
          <w:rFonts w:hint="eastAsia"/>
        </w:rPr>
      </w:pPr>
      <w:r>
        <w:separator/>
      </w:r>
    </w:p>
  </w:endnote>
  <w:endnote w:type="continuationSeparator" w:id="0">
    <w:p w:rsidR="008541BB" w:rsidRDefault="008541BB" w:rsidP="006061B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大标宋_GBK">
    <w:altName w:val="微软雅黑"/>
    <w:charset w:val="86"/>
    <w:family w:val="auto"/>
    <w:pitch w:val="default"/>
    <w:sig w:usb0="00000000" w:usb1="080E0000" w:usb2="0000000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
    <w:altName w:val="微软雅黑"/>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default"/>
    <w:sig w:usb0="800002BF" w:usb1="38CF7CFA" w:usb2="00000016" w:usb3="00000000" w:csb0="00040001"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F9" w:rsidRDefault="00BB301F">
    <w:pPr>
      <w:pStyle w:val="a3"/>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208pt;margin-top:680.3pt;width:2in;height:2in;z-index:251659264;mso-wrap-style:none;mso-position-horizontal:outside;mso-position-horizontal-relative:margin;mso-position-vertical-relative:margin" o:gfxdata="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jiBJ1QAAAAoBAAAPAAAAAAAAAAEA&#10;IAAAACIAAABkcnMvZG93bnJldi54bWxQSwECFAAUAAAACACHTuJA5smByhICAAATBAAADgAAAAAA&#10;AAABACAAAAAkAQAAZHJzL2Uyb0RvYy54bWxQSwUGAAAAAAYABgBZAQAAqAUAAAAA&#10;" filled="f" stroked="f" strokeweight=".5pt">
          <v:textbox style="mso-fit-shape-to-text:t" inset="0,0,0,0">
            <w:txbxContent>
              <w:p w:rsidR="00F13AF9" w:rsidRDefault="00BB301F">
                <w:pPr>
                  <w:snapToGrid w:val="0"/>
                  <w:rPr>
                    <w:rFonts w:ascii="宋体" w:eastAsia="宋体" w:hAnsi="宋体" w:cs="宋体"/>
                    <w:sz w:val="24"/>
                  </w:rPr>
                </w:pPr>
                <w:r>
                  <w:rPr>
                    <w:rFonts w:ascii="宋体" w:eastAsia="宋体" w:hAnsi="宋体" w:cs="宋体" w:hint="eastAsia"/>
                    <w:sz w:val="24"/>
                  </w:rPr>
                  <w:fldChar w:fldCharType="begin"/>
                </w:r>
                <w:r w:rsidR="00F13AF9">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7D47CC">
                  <w:rPr>
                    <w:rFonts w:ascii="宋体" w:eastAsia="宋体" w:hAnsi="宋体" w:cs="宋体"/>
                    <w:noProof/>
                    <w:sz w:val="24"/>
                  </w:rPr>
                  <w:t>- 2 -</w:t>
                </w:r>
                <w:r>
                  <w:rPr>
                    <w:rFonts w:ascii="宋体" w:eastAsia="宋体" w:hAnsi="宋体" w:cs="宋体" w:hint="eastAsia"/>
                    <w:sz w:val="24"/>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F9" w:rsidRDefault="00BB301F">
    <w:pPr>
      <w:rPr>
        <w:rFonts w:hint="eastAsia"/>
      </w:rPr>
    </w:pPr>
    <w:r>
      <w:rPr>
        <w:rFonts w:hint="eastAsia"/>
      </w:rPr>
      <w:pict>
        <v:shapetype id="_x0000_t202" coordsize="21600,21600" o:spt="202" path="m,l,21600r21600,l21600,xe">
          <v:stroke joinstyle="miter"/>
          <v:path gradientshapeok="t" o:connecttype="rect"/>
        </v:shapetype>
        <v:shape id="_x0000_s2050" type="#_x0000_t202" style="position:absolute;left:0;text-align:left;margin-left:208pt;margin-top:680.3pt;width:2in;height:2in;z-index:251658240;mso-wrap-style:none;mso-position-horizontal:outside;mso-position-horizontal-relative:margin;mso-position-vertical-relative:margin" o:gfxdata="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jiBJ1QAAAAoBAAAPAAAAAAAA&#10;AAEAIAAAACIAAABkcnMvZG93bnJldi54bWxQSwECFAAUAAAACACHTuJA1NWzYBUCAAATBAAADgAA&#10;AAAAAAABACAAAAAkAQAAZHJzL2Uyb0RvYy54bWxQSwUGAAAAAAYABgBZAQAAqwUAAAAA&#10;" filled="f" stroked="f" strokeweight=".5pt">
          <v:textbox style="mso-fit-shape-to-text:t" inset="0,0,0,0">
            <w:txbxContent>
              <w:p w:rsidR="00F13AF9" w:rsidRDefault="00BB301F">
                <w:pPr>
                  <w:snapToGrid w:val="0"/>
                  <w:rPr>
                    <w:rFonts w:ascii="宋体" w:eastAsia="宋体" w:hAnsi="宋体" w:cs="宋体"/>
                    <w:sz w:val="24"/>
                  </w:rPr>
                </w:pPr>
                <w:r>
                  <w:rPr>
                    <w:rFonts w:ascii="宋体" w:eastAsia="宋体" w:hAnsi="宋体" w:cs="宋体" w:hint="eastAsia"/>
                    <w:sz w:val="24"/>
                  </w:rPr>
                  <w:fldChar w:fldCharType="begin"/>
                </w:r>
                <w:r w:rsidR="00F13AF9">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7D47CC">
                  <w:rPr>
                    <w:rFonts w:ascii="宋体" w:eastAsia="宋体" w:hAnsi="宋体" w:cs="宋体"/>
                    <w:noProof/>
                    <w:sz w:val="24"/>
                  </w:rPr>
                  <w:t>- 3 -</w:t>
                </w:r>
                <w:r>
                  <w:rPr>
                    <w:rFonts w:ascii="宋体" w:eastAsia="宋体" w:hAnsi="宋体" w:cs="宋体" w:hint="eastAsia"/>
                    <w:sz w:val="24"/>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BB" w:rsidRDefault="008541BB" w:rsidP="006061BF">
      <w:pPr>
        <w:rPr>
          <w:rFonts w:hint="eastAsia"/>
        </w:rPr>
      </w:pPr>
      <w:r>
        <w:separator/>
      </w:r>
    </w:p>
  </w:footnote>
  <w:footnote w:type="continuationSeparator" w:id="0">
    <w:p w:rsidR="008541BB" w:rsidRDefault="008541BB" w:rsidP="006061BF">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000000C"/>
    <w:multiLevelType w:val="singleLevel"/>
    <w:tmpl w:val="0000000C"/>
    <w:lvl w:ilvl="0">
      <w:start w:val="1"/>
      <w:numFmt w:val="decimal"/>
      <w:suff w:val="nothing"/>
      <w:lvlText w:val="%1．"/>
      <w:lvlJc w:val="left"/>
    </w:lvl>
  </w:abstractNum>
  <w:abstractNum w:abstractNumId="3">
    <w:nsid w:val="3532737D"/>
    <w:multiLevelType w:val="multilevel"/>
    <w:tmpl w:val="3532737D"/>
    <w:lvl w:ilvl="0">
      <w:start w:val="1"/>
      <w:numFmt w:val="japaneseCounting"/>
      <w:lvlText w:val="第%1章"/>
      <w:lvlJc w:val="left"/>
      <w:pPr>
        <w:ind w:left="115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319"/>
  <w:displayHorizontalDrawingGridEvery w:val="0"/>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934486"/>
    <w:rsid w:val="001812EA"/>
    <w:rsid w:val="00472326"/>
    <w:rsid w:val="004F764F"/>
    <w:rsid w:val="005D0E3D"/>
    <w:rsid w:val="006061BF"/>
    <w:rsid w:val="00701F3C"/>
    <w:rsid w:val="007D47CC"/>
    <w:rsid w:val="008541BB"/>
    <w:rsid w:val="00AC301D"/>
    <w:rsid w:val="00B208C6"/>
    <w:rsid w:val="00BB301F"/>
    <w:rsid w:val="00CA7E50"/>
    <w:rsid w:val="00CB443C"/>
    <w:rsid w:val="00F13AF9"/>
    <w:rsid w:val="01704031"/>
    <w:rsid w:val="0B934486"/>
    <w:rsid w:val="111B5229"/>
    <w:rsid w:val="14FB52CC"/>
    <w:rsid w:val="25FE679B"/>
    <w:rsid w:val="2971358D"/>
    <w:rsid w:val="2B4A5EFD"/>
    <w:rsid w:val="33E25938"/>
    <w:rsid w:val="3DE55ED5"/>
    <w:rsid w:val="412754D1"/>
    <w:rsid w:val="4D8E4E93"/>
    <w:rsid w:val="558F6771"/>
    <w:rsid w:val="5A03557B"/>
    <w:rsid w:val="5D5930EF"/>
    <w:rsid w:val="697116AD"/>
    <w:rsid w:val="6FE91AF1"/>
    <w:rsid w:val="79F000A5"/>
    <w:rsid w:val="7D9E0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1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061BF"/>
    <w:pPr>
      <w:tabs>
        <w:tab w:val="center" w:pos="4153"/>
        <w:tab w:val="right" w:pos="8306"/>
      </w:tabs>
      <w:snapToGrid w:val="0"/>
      <w:jc w:val="left"/>
    </w:pPr>
    <w:rPr>
      <w:sz w:val="18"/>
    </w:rPr>
  </w:style>
  <w:style w:type="paragraph" w:styleId="a4">
    <w:name w:val="header"/>
    <w:basedOn w:val="a"/>
    <w:link w:val="Char0"/>
    <w:qFormat/>
    <w:rsid w:val="006061BF"/>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6061BF"/>
    <w:pPr>
      <w:widowControl w:val="0"/>
      <w:autoSpaceDE w:val="0"/>
      <w:autoSpaceDN w:val="0"/>
      <w:adjustRightInd w:val="0"/>
    </w:pPr>
    <w:rPr>
      <w:rFonts w:ascii="黑体" w:eastAsia="黑体" w:cs="黑体"/>
      <w:color w:val="000000"/>
      <w:sz w:val="24"/>
      <w:szCs w:val="24"/>
    </w:rPr>
  </w:style>
  <w:style w:type="paragraph" w:customStyle="1" w:styleId="1">
    <w:name w:val="列出段落1"/>
    <w:basedOn w:val="a"/>
    <w:uiPriority w:val="99"/>
    <w:unhideWhenUsed/>
    <w:qFormat/>
    <w:rsid w:val="006061BF"/>
    <w:pPr>
      <w:ind w:firstLineChars="200" w:firstLine="420"/>
    </w:pPr>
  </w:style>
  <w:style w:type="character" w:customStyle="1" w:styleId="Char0">
    <w:name w:val="页眉 Char"/>
    <w:basedOn w:val="a0"/>
    <w:link w:val="a4"/>
    <w:qFormat/>
    <w:rsid w:val="006061BF"/>
    <w:rPr>
      <w:kern w:val="2"/>
      <w:sz w:val="18"/>
      <w:szCs w:val="18"/>
    </w:rPr>
  </w:style>
  <w:style w:type="character" w:customStyle="1" w:styleId="Char">
    <w:name w:val="页脚 Char"/>
    <w:basedOn w:val="a0"/>
    <w:link w:val="a3"/>
    <w:uiPriority w:val="99"/>
    <w:qFormat/>
    <w:rsid w:val="006061BF"/>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1643</Words>
  <Characters>9371</Characters>
  <Application>Microsoft Office Word</Application>
  <DocSecurity>0</DocSecurity>
  <Lines>78</Lines>
  <Paragraphs>21</Paragraphs>
  <ScaleCrop>false</ScaleCrop>
  <Company>Microsoft</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俞晓莉</cp:lastModifiedBy>
  <cp:revision>7</cp:revision>
  <cp:lastPrinted>2019-06-03T06:42:00Z</cp:lastPrinted>
  <dcterms:created xsi:type="dcterms:W3CDTF">2019-05-29T03:16:00Z</dcterms:created>
  <dcterms:modified xsi:type="dcterms:W3CDTF">2019-06-03T09:04:00Z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