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8" w:name="_GoBack"/>
      <w:bookmarkEnd w:id="18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贵州省石灰行业规范企业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年度自查报告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企业名称：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企业法定代表人：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 报 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 核 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申请日期：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贵州省石灰行业规范企业自查报告大纲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一、企业概况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Toc41141688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（一）申报企业基本情况</w:t>
      </w:r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文字概述，并填报完成附表2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1——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企业基本情况表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Toc41141688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（二）企业变更情况</w:t>
      </w:r>
      <w:bookmarkEnd w:id="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填报下表，并用文字具体描述变更情况。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企业变更情况一览表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3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      型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名称变化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与其它规范企业兼并、重组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产能变化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扩大采选规模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主体装备或工艺变化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企业搬迁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企业分立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与非规范企业兼并、重组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 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注：1．需提供地方有关部门的备案文件。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96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2．需重新提出纳入《贵州省石灰行业规范条件》管理申请。工业和信息化主管部门按照《贵州省石灰行业规范条件》规定进行审查。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bookmarkStart w:id="2" w:name="_Toc41141689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（三）相关材料</w:t>
      </w:r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3" w:name="_Toc41141689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企业名称变化</w:t>
      </w:r>
      <w:bookmarkEnd w:id="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4" w:name="_Toc41141689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企业兼并重组</w:t>
      </w:r>
      <w:bookmarkEnd w:id="4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5" w:name="_Toc41141689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产能变化的</w:t>
      </w:r>
      <w:bookmarkEnd w:id="5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6" w:name="_Toc411416894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装备变化的</w:t>
      </w:r>
      <w:bookmarkEnd w:id="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7" w:name="_Toc411416895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</w:t>
      </w:r>
      <w:bookmarkEnd w:id="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8" w:name="_Toc41141689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二、产品质量</w:t>
      </w:r>
      <w:bookmarkEnd w:id="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9" w:name="_Toc41141689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（一）产品情况</w:t>
      </w:r>
      <w:bookmarkEnd w:id="9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文字描述企业产品结构、品种、质量、上一年度产量情况。填报附表2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2——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企业产量及原料情况表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0" w:name="_Toc41141689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（二）相关材料</w:t>
      </w:r>
      <w:bookmarkEnd w:id="1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相关产品认证。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（变化部分需要填报，与申请时无变化不需要填报）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1" w:name="_Toc411416913"/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三、工艺与装备</w:t>
      </w:r>
      <w:bookmarkEnd w:id="1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填报完成附表2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3——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现有主要生产装备变化情况表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（变化部分需要填报，与申请时无变化不需要填报）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2" w:name="_Toc411416899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四、环境保护</w:t>
      </w:r>
      <w:bookmarkEnd w:id="1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3" w:name="_Toc41141691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（一）主要污染物排放情况说明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大气污染物排放达标情况。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水污染物排放达标情况。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废弃物产生、利用、处置、流转情况。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（二）相关材料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大气污染预防和排放情况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有效期内的排污许可证和上一年的年度执行报告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企业上年度自行监测情况，包括监测方案的制定，自行监测开展情况以及信息公开情况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对上年度内是否符合环保法律法规、是否发生环保违法违规行为等情况做出说明，如因环境违法违规行为受到处罚或责令整改的，应提供整改完成的相关材料。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五、能源消耗和资源综合利用</w:t>
      </w:r>
      <w:bookmarkEnd w:id="1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填报完成附表2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5。如果企业实际值与上一年度发生变化较大，需要说明原因并写出采取的措施。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4" w:name="_Toc411416914"/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六、安全、职业卫生和社会责任</w:t>
      </w:r>
      <w:bookmarkEnd w:id="1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5" w:name="_Toc411416915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（一）安全、职业卫生和社会责任</w:t>
      </w:r>
      <w:bookmarkEnd w:id="15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简要描述企业安全、职业卫生和社会责任情况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对上年度内是否符合安全生产法律法规、是否发生安全生产违法违规行为等情况做出文字说明，如因安全生产违法违规行为受到处罚或责令整改的，应提供整改完成的相关材料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6" w:name="_Toc41141691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bookmarkEnd w:id="1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7" w:name="_Toc411416917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上年度纳税</w:t>
      </w:r>
      <w:bookmarkEnd w:id="17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、社保缴纳的相关材料，如不能提供应进行文字说明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24"/>
          <w:lang w:val="en-US" w:eastAsia="zh-CN"/>
        </w:rPr>
        <w:t>所有材料及说明复印件需加盖本单位公章。如不能提供要求的材料，须说明原因。文字和附表均需要填写完成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79"/>
        <w:gridCol w:w="1326"/>
        <w:gridCol w:w="1387"/>
        <w:gridCol w:w="1294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全员人数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共计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人，其中生产人员：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管理人员：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上年度企业产值（万元）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上年度销售收入（万元）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上年度利润总额（万元）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上年度企业上缴税金总额（万元）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上年度企业资产总额（万元）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上年度企业净资产（万元）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用地总面积（平方米）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企业产量及原料情况表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83"/>
        <w:gridCol w:w="1971"/>
        <w:gridCol w:w="1519"/>
        <w:gridCol w:w="3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产品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上年度产品生产能力（万吨/年）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上一年度产品产量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（万吨）</w:t>
            </w:r>
          </w:p>
        </w:tc>
        <w:tc>
          <w:tcPr>
            <w:tcW w:w="3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主要原料、燃料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构成配比情况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生石灰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熟石灰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石灰衍生制品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现有主要生产装备变化情况表</w:t>
      </w:r>
    </w:p>
    <w:p>
      <w:pPr>
        <w:widowControl/>
        <w:wordWrap w:val="0"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0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0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kern w:val="0"/>
          <w:sz w:val="24"/>
          <w:szCs w:val="20"/>
        </w:rPr>
        <w:t>□有变化   □无变化</w:t>
      </w:r>
    </w:p>
    <w:tbl>
      <w:tblPr>
        <w:tblStyle w:val="7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54"/>
        <w:gridCol w:w="1194"/>
        <w:gridCol w:w="1215"/>
        <w:gridCol w:w="1339"/>
        <w:gridCol w:w="1190"/>
        <w:gridCol w:w="1190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产品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名称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主体生产工艺装备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生产能力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万吨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总投资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开工时间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投产时间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生石灰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熟石灰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石灰衍生制品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注：自查期内无变化在□无变化前打√，有变化填写相关变化内容。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10" w:h="16840"/>
          <w:pgMar w:top="2098" w:right="1474" w:bottom="1701" w:left="1587" w:header="0" w:footer="1247" w:gutter="0"/>
          <w:pgNumType w:fmt="numberInDash"/>
          <w:cols w:equalWidth="0" w:num="1">
            <w:col w:w="8849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企业能源消耗及资源综合利用情况表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（石灰石矿山开采）</w:t>
      </w:r>
    </w:p>
    <w:tbl>
      <w:tblPr>
        <w:tblStyle w:val="7"/>
        <w:tblpPr w:leftFromText="180" w:rightFromText="180" w:vertAnchor="text" w:horzAnchor="page" w:tblpX="1347" w:tblpY="356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391"/>
        <w:gridCol w:w="383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项 目 名 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企业实际值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采矿单位产品综合能耗（千克标准煤/吨矿）</w:t>
            </w:r>
          </w:p>
        </w:tc>
        <w:tc>
          <w:tcPr>
            <w:tcW w:w="3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开采方式：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0"/>
              </w:rPr>
              <w:t>□地下，能耗：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0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0"/>
              </w:rPr>
              <w:t>；□露采，能耗：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0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0"/>
              </w:rPr>
              <w:t>；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请选择开采方式后填写能耗；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矿山开采率（%）</w:t>
            </w:r>
          </w:p>
        </w:tc>
        <w:tc>
          <w:tcPr>
            <w:tcW w:w="3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采矿单位综合能耗（千克标准煤/吨矿）</w:t>
            </w:r>
          </w:p>
        </w:tc>
        <w:tc>
          <w:tcPr>
            <w:tcW w:w="3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企业次废回收率（%）</w:t>
            </w:r>
          </w:p>
        </w:tc>
        <w:tc>
          <w:tcPr>
            <w:tcW w:w="3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企业工业固废、尾矿回收率（%）</w:t>
            </w:r>
          </w:p>
        </w:tc>
        <w:tc>
          <w:tcPr>
            <w:tcW w:w="3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9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矿山废水循环利用率（%）</w:t>
            </w:r>
          </w:p>
        </w:tc>
        <w:tc>
          <w:tcPr>
            <w:tcW w:w="383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申报上年度全年总新水取水量（万吨）</w:t>
            </w:r>
          </w:p>
        </w:tc>
        <w:tc>
          <w:tcPr>
            <w:tcW w:w="383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采矿单位用新水单耗（立方米/吨）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矿山矿产资源综合利用率指标要求（%）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注：1、电力折算系数0.1229千克标准煤/千瓦时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企业能源消耗及资源综合利用情况表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（石灰生产）</w:t>
      </w:r>
    </w:p>
    <w:tbl>
      <w:tblPr>
        <w:tblStyle w:val="7"/>
        <w:tblW w:w="9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156"/>
        <w:gridCol w:w="3003"/>
        <w:gridCol w:w="2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序号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项 目 名 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企业实际值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Cs w:val="20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生石灰工艺综合能耗（千克标准煤/吨）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原矿对生石灰产出率（%）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熟石灰工艺综合能耗（千克标准煤/吨）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原矿对熟石灰产出率（%）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石灰衍生产品工艺综合能耗（千克标准煤/吨）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原矿对石灰衍生产品产出率（%）</w:t>
            </w:r>
          </w:p>
        </w:tc>
        <w:tc>
          <w:tcPr>
            <w:tcW w:w="300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水循环利用率（%）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申报上年度全年总新水取水量（万吨）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单位用新水单耗（立方米/吨）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10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申报上一年度新增所有废渣累计量（万吨）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11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申报上一年度所有废渣累计处理量（万吨）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12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  <w:t>申报上一年度所有废渣累计处理率（万吨）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注：1．电力折算系数0.1229千克标准煤/千瓦时；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96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．包括以回收固废、工业尾矿主要目的的渣处理项目。</w:t>
      </w:r>
    </w:p>
    <w:sectPr>
      <w:pgSz w:w="11910" w:h="16840"/>
      <w:pgMar w:top="2098" w:right="1474" w:bottom="1701" w:left="1587" w:header="0" w:footer="1247" w:gutter="0"/>
      <w:pgNumType w:fmt="numberInDash"/>
      <w:cols w:equalWidth="0" w:num="1">
        <w:col w:w="8849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39104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9760585</wp:posOffset>
              </wp:positionV>
              <wp:extent cx="272415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5pt;margin-top:768.55pt;height:12pt;width:21.45pt;mso-position-horizontal-relative:page;mso-position-vertical-relative:page;z-index:-251877376;mso-width-relative:page;mso-height-relative:page;" filled="f" stroked="f" coordsize="21600,21600" o:gfxdata="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McIZvbAAAADQEAAA8AAAAA&#10;AAAAAQAgAAAAIgAAAGRycy9kb3ducmV2LnhtbFBLAQIUABQAAAAIAIdO4kBRRjtP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7B64"/>
    <w:rsid w:val="023615C4"/>
    <w:rsid w:val="02425615"/>
    <w:rsid w:val="04C937CE"/>
    <w:rsid w:val="0730356B"/>
    <w:rsid w:val="0785254F"/>
    <w:rsid w:val="0CA77DE3"/>
    <w:rsid w:val="0E924902"/>
    <w:rsid w:val="0EAD4633"/>
    <w:rsid w:val="16385DE3"/>
    <w:rsid w:val="163C0C14"/>
    <w:rsid w:val="1A051B3D"/>
    <w:rsid w:val="1A171334"/>
    <w:rsid w:val="1AA85A91"/>
    <w:rsid w:val="1AE91820"/>
    <w:rsid w:val="1E092AC4"/>
    <w:rsid w:val="1ECE71C2"/>
    <w:rsid w:val="1EFA1543"/>
    <w:rsid w:val="1F667B94"/>
    <w:rsid w:val="20B51216"/>
    <w:rsid w:val="250C420F"/>
    <w:rsid w:val="270C0D7B"/>
    <w:rsid w:val="279F2416"/>
    <w:rsid w:val="29017D85"/>
    <w:rsid w:val="2C2E6D07"/>
    <w:rsid w:val="2D4A17C8"/>
    <w:rsid w:val="2F8C7DF7"/>
    <w:rsid w:val="2FB303C0"/>
    <w:rsid w:val="310067C3"/>
    <w:rsid w:val="331753AE"/>
    <w:rsid w:val="34032DF9"/>
    <w:rsid w:val="35AF30C8"/>
    <w:rsid w:val="36B24836"/>
    <w:rsid w:val="39EC6902"/>
    <w:rsid w:val="3BD25D24"/>
    <w:rsid w:val="3BDD4EDD"/>
    <w:rsid w:val="3BE05C93"/>
    <w:rsid w:val="3F8D059F"/>
    <w:rsid w:val="40060C86"/>
    <w:rsid w:val="42AA6967"/>
    <w:rsid w:val="442E4A1A"/>
    <w:rsid w:val="450466F9"/>
    <w:rsid w:val="456B3CBD"/>
    <w:rsid w:val="458121F5"/>
    <w:rsid w:val="45E6581D"/>
    <w:rsid w:val="479A3628"/>
    <w:rsid w:val="522B0714"/>
    <w:rsid w:val="52DD5796"/>
    <w:rsid w:val="53250D3F"/>
    <w:rsid w:val="552626E7"/>
    <w:rsid w:val="55C65A5B"/>
    <w:rsid w:val="569463B4"/>
    <w:rsid w:val="5C2D4E7B"/>
    <w:rsid w:val="5E1D0DF1"/>
    <w:rsid w:val="61B141C6"/>
    <w:rsid w:val="62C113B1"/>
    <w:rsid w:val="63E931E1"/>
    <w:rsid w:val="644962C5"/>
    <w:rsid w:val="65294857"/>
    <w:rsid w:val="6578738E"/>
    <w:rsid w:val="694F361A"/>
    <w:rsid w:val="69BD7A86"/>
    <w:rsid w:val="6AD5143B"/>
    <w:rsid w:val="6AF16EDA"/>
    <w:rsid w:val="6B513865"/>
    <w:rsid w:val="723E4955"/>
    <w:rsid w:val="7A695C06"/>
    <w:rsid w:val="7A762266"/>
    <w:rsid w:val="7CEC5A52"/>
    <w:rsid w:val="7D46667A"/>
    <w:rsid w:val="7FD7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9"/>
      <w:ind w:left="17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147" w:firstLine="57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表体"/>
    <w:qFormat/>
    <w:uiPriority w:val="0"/>
    <w:pPr>
      <w:widowControl w:val="0"/>
      <w:overflowPunct w:val="0"/>
      <w:adjustRightInd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4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2020-09-24T03:20:00Z</dcterms:created>
  <dc:creator>毛旭峰</dc:creator>
  <cp:lastModifiedBy>刘蓓</cp:lastModifiedBy>
  <cp:lastPrinted>2020-10-10T07:34:00Z</cp:lastPrinted>
  <dcterms:modified xsi:type="dcterms:W3CDTF">2020-10-10T09:22:42Z</dcterms:modified>
  <dc:title>贵州省经济和信息化委员会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2014-06-19T00:00:00Z</vt:filetime>
  </property>
  <property fmtid="{D5CDD505-2E9C-101B-9397-08002B2CF9AE}" pid="5" name="KSOProductBuildVer">
    <vt:lpwstr>2052-11.1.0.10000</vt:lpwstr>
  </property>
</Properties>
</file>