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adjustRightInd/>
        <w:snapToGrid/>
        <w:spacing w:line="600" w:lineRule="exact"/>
        <w:textAlignment w:val="auto"/>
        <w:rPr>
          <w:rFonts w:hint="default" w:ascii="黑体" w:hAnsi="黑体" w:eastAsia="黑体" w:cs="黑体"/>
          <w:kern w:val="2"/>
          <w:sz w:val="32"/>
          <w:szCs w:val="32"/>
          <w:lang w:val="en-US" w:eastAsia="zh-CN" w:bidi="ar-SA"/>
        </w:rPr>
      </w:pPr>
      <w:bookmarkStart w:id="0" w:name="_GoBack"/>
      <w:bookmarkEnd w:id="0"/>
      <w:r>
        <w:rPr>
          <w:rFonts w:hint="eastAsia" w:ascii="黑体" w:hAnsi="黑体" w:eastAsia="黑体" w:cs="黑体"/>
          <w:kern w:val="2"/>
          <w:sz w:val="32"/>
          <w:szCs w:val="32"/>
          <w:lang w:val="en-US" w:eastAsia="zh-CN" w:bidi="ar-SA"/>
        </w:rPr>
        <w:t>附件</w:t>
      </w:r>
      <w:r>
        <w:rPr>
          <w:rFonts w:hint="default" w:ascii="Times New Roman" w:hAnsi="Times New Roman" w:eastAsia="黑体" w:cs="Times New Roman"/>
          <w:kern w:val="2"/>
          <w:sz w:val="32"/>
          <w:szCs w:val="32"/>
          <w:lang w:val="en-US" w:eastAsia="zh-CN" w:bidi="ar-SA"/>
        </w:rPr>
        <w:t>1</w:t>
      </w:r>
    </w:p>
    <w:p>
      <w:pPr>
        <w:pStyle w:val="2"/>
        <w:jc w:val="center"/>
        <w:rPr>
          <w:rFonts w:hint="eastAsia" w:ascii="方正小标宋简体" w:hAnsi="方正小标宋简体" w:eastAsia="方正小标宋简体" w:cs="方正小标宋简体"/>
          <w:kern w:val="2"/>
          <w:sz w:val="44"/>
          <w:szCs w:val="44"/>
          <w:lang w:val="en-US" w:eastAsia="zh-CN" w:bidi="ar-SA"/>
        </w:rPr>
      </w:pPr>
    </w:p>
    <w:p>
      <w:pPr>
        <w:pStyle w:val="2"/>
        <w:jc w:val="center"/>
        <w:rPr>
          <w:rFonts w:hint="eastAsia" w:ascii="方正小标宋简体" w:hAnsi="方正小标宋简体" w:eastAsia="方正小标宋简体" w:cs="方正小标宋简体"/>
          <w:kern w:val="2"/>
          <w:sz w:val="44"/>
          <w:szCs w:val="4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贵州省预拌混凝土行业企业规范公告申请报告</w:t>
      </w:r>
    </w:p>
    <w:p>
      <w:pPr>
        <w:pStyle w:val="2"/>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960" w:firstLineChars="3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960" w:firstLineChars="3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960" w:firstLineChars="3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企业名称：</w:t>
      </w:r>
      <w:r>
        <w:rPr>
          <w:rFonts w:hint="eastAsia"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960" w:firstLineChars="3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企业法定代表人：</w:t>
      </w:r>
      <w:r>
        <w:rPr>
          <w:rFonts w:hint="eastAsia"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lang w:val="en-US" w:eastAsia="zh-CN" w:bidi="ar-SA"/>
        </w:rPr>
        <w:t>（签       字）</w:t>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960" w:firstLineChars="3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填 报 人：</w:t>
      </w:r>
      <w:r>
        <w:rPr>
          <w:rFonts w:hint="eastAsia"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lang w:val="en-US" w:eastAsia="zh-CN" w:bidi="ar-SA"/>
        </w:rPr>
        <w:t>（签      字）</w:t>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960" w:firstLineChars="300"/>
        <w:jc w:val="both"/>
        <w:textAlignment w:val="auto"/>
        <w:rPr>
          <w:rFonts w:hint="default" w:ascii="Times New Roman" w:hAnsi="Times New Roman" w:eastAsia="仿宋_GB2312" w:cs="Times New Roman"/>
          <w:kern w:val="2"/>
          <w:sz w:val="32"/>
          <w:szCs w:val="32"/>
          <w:u w:val="single"/>
          <w:lang w:val="en-US" w:eastAsia="zh-CN" w:bidi="ar-SA"/>
        </w:rPr>
      </w:pPr>
      <w:r>
        <w:rPr>
          <w:rFonts w:hint="eastAsia" w:ascii="Times New Roman" w:hAnsi="Times New Roman" w:eastAsia="仿宋_GB2312" w:cs="Times New Roman"/>
          <w:kern w:val="2"/>
          <w:sz w:val="32"/>
          <w:szCs w:val="32"/>
          <w:lang w:val="en-US" w:eastAsia="zh-CN" w:bidi="ar-SA"/>
        </w:rPr>
        <w:t>联系电话：</w:t>
      </w:r>
      <w:r>
        <w:rPr>
          <w:rFonts w:hint="eastAsia" w:ascii="Times New Roman" w:hAnsi="Times New Roman" w:eastAsia="仿宋_GB2312" w:cs="Times New Roman"/>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960" w:firstLineChars="3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审 核 人：</w:t>
      </w:r>
      <w:r>
        <w:rPr>
          <w:rFonts w:hint="eastAsia"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lang w:val="en-US" w:eastAsia="zh-CN" w:bidi="ar-SA"/>
        </w:rPr>
        <w:t>（签       字）</w:t>
      </w: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640" w:firstLineChars="200"/>
        <w:jc w:val="both"/>
        <w:textAlignment w:val="auto"/>
        <w:rPr>
          <w:rFonts w:hint="default" w:ascii="Times New Roman" w:hAnsi="Times New Roman" w:eastAsia="仿宋_GB2312" w:cs="Times New Roman"/>
          <w:kern w:val="2"/>
          <w:sz w:val="32"/>
          <w:szCs w:val="32"/>
          <w:u w:val="single"/>
          <w:lang w:val="en-US" w:eastAsia="zh-CN" w:bidi="ar-SA"/>
        </w:rPr>
      </w:pPr>
      <w:r>
        <w:rPr>
          <w:rFonts w:hint="eastAsia" w:ascii="Times New Roman" w:hAnsi="Times New Roman" w:eastAsia="仿宋_GB2312" w:cs="Times New Roman"/>
          <w:kern w:val="2"/>
          <w:sz w:val="32"/>
          <w:szCs w:val="32"/>
          <w:lang w:val="en-US" w:eastAsia="zh-CN" w:bidi="ar-SA"/>
        </w:rPr>
        <w:t xml:space="preserve">    申请日期：</w:t>
      </w:r>
      <w:r>
        <w:rPr>
          <w:rFonts w:hint="eastAsia" w:ascii="Times New Roman" w:hAnsi="Times New Roman" w:eastAsia="仿宋_GB2312" w:cs="Times New Roman"/>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eastAsia"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eastAsia" w:ascii="方正小标宋简体" w:hAnsi="方正小标宋简体" w:eastAsia="方正小标宋简体" w:cs="方正小标宋简体"/>
          <w:spacing w:val="-45"/>
          <w:kern w:val="2"/>
          <w:sz w:val="44"/>
          <w:szCs w:val="4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eastAsia" w:ascii="方正小标宋简体" w:hAnsi="方正小标宋简体" w:eastAsia="方正小标宋简体" w:cs="方正小标宋简体"/>
          <w:spacing w:val="-45"/>
          <w:kern w:val="2"/>
          <w:sz w:val="44"/>
          <w:szCs w:val="4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eastAsia" w:ascii="方正小标宋简体" w:hAnsi="方正小标宋简体" w:eastAsia="方正小标宋简体" w:cs="方正小标宋简体"/>
          <w:spacing w:val="-45"/>
          <w:kern w:val="2"/>
          <w:sz w:val="44"/>
          <w:szCs w:val="44"/>
          <w:lang w:val="en-US" w:eastAsia="zh-CN" w:bidi="ar-SA"/>
        </w:rPr>
      </w:pPr>
      <w:r>
        <w:rPr>
          <w:rFonts w:hint="eastAsia" w:ascii="方正小标宋简体" w:hAnsi="方正小标宋简体" w:eastAsia="方正小标宋简体" w:cs="方正小标宋简体"/>
          <w:spacing w:val="-45"/>
          <w:kern w:val="2"/>
          <w:sz w:val="44"/>
          <w:szCs w:val="44"/>
          <w:lang w:val="en-US" w:eastAsia="zh-CN" w:bidi="ar-SA"/>
        </w:rPr>
        <w:t>贵州省预拌混凝土行业企业规范公告申请报告大纲</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黑体" w:hAnsi="黑体" w:eastAsia="黑体" w:cs="黑体"/>
          <w:color w:val="000000"/>
          <w:sz w:val="32"/>
          <w:szCs w:val="20"/>
          <w:highlight w:val="none"/>
          <w:lang w:eastAsia="zh-CN"/>
        </w:rPr>
      </w:pPr>
      <w:r>
        <w:rPr>
          <w:rFonts w:hint="eastAsia" w:ascii="黑体" w:hAnsi="黑体" w:eastAsia="黑体" w:cs="黑体"/>
          <w:color w:val="000000"/>
          <w:sz w:val="32"/>
          <w:szCs w:val="20"/>
          <w:highlight w:val="none"/>
          <w:lang w:eastAsia="zh-CN"/>
        </w:rPr>
        <w:t>一、企业基本情况</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企业名称、所有制形式、注册地址、成立时间、法定代表人、现有职工人数、现有设计/生产能力、上年度实际产量、销售收入、利润等生产经营情况（并附表格，格式见附表1</w:t>
      </w:r>
      <w:r>
        <w:rPr>
          <w:rFonts w:hint="eastAsia" w:ascii="宋体" w:hAnsi="宋体" w:eastAsia="宋体" w:cs="宋体"/>
          <w:color w:val="000000"/>
          <w:sz w:val="32"/>
          <w:szCs w:val="20"/>
          <w:highlight w:val="none"/>
          <w:lang w:eastAsia="zh-CN"/>
        </w:rPr>
        <w:t>－</w:t>
      </w:r>
      <w:r>
        <w:rPr>
          <w:rFonts w:hint="eastAsia" w:ascii="Times New Roman" w:hAnsi="Times New Roman" w:eastAsia="仿宋_GB2312" w:cs="Times New Roman"/>
          <w:color w:val="000000"/>
          <w:sz w:val="32"/>
          <w:szCs w:val="20"/>
          <w:highlight w:val="none"/>
          <w:lang w:eastAsia="zh-CN"/>
        </w:rPr>
        <w:t>1）。需提供营业执照（在线核验的不需提供纸质营业执照）、建筑业企业资质证书（预拌混凝土专业承包资质）、有关项目核准或备案等审批文件、</w:t>
      </w:r>
      <w:r>
        <w:rPr>
          <w:rFonts w:hint="eastAsia" w:ascii="仿宋_GB2312" w:hAnsi="仿宋_GB2312" w:eastAsia="仿宋_GB2312" w:cs="仿宋_GB2312"/>
          <w:color w:val="000000"/>
          <w:sz w:val="32"/>
          <w:szCs w:val="32"/>
        </w:rPr>
        <w:t>土地证等基本证件复印件</w:t>
      </w:r>
      <w:r>
        <w:rPr>
          <w:rFonts w:hint="eastAsia" w:ascii="Times New Roman" w:hAnsi="Times New Roman" w:eastAsia="仿宋_GB2312" w:cs="Times New Roman"/>
          <w:color w:val="000000"/>
          <w:sz w:val="32"/>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黑体" w:hAnsi="黑体" w:eastAsia="黑体" w:cs="黑体"/>
          <w:color w:val="000000"/>
          <w:sz w:val="32"/>
          <w:szCs w:val="20"/>
          <w:highlight w:val="none"/>
          <w:lang w:eastAsia="zh-CN"/>
        </w:rPr>
      </w:pPr>
      <w:r>
        <w:rPr>
          <w:rFonts w:hint="eastAsia" w:ascii="黑体" w:hAnsi="黑体" w:eastAsia="黑体" w:cs="黑体"/>
          <w:color w:val="000000"/>
          <w:sz w:val="32"/>
          <w:szCs w:val="20"/>
          <w:highlight w:val="none"/>
          <w:lang w:eastAsia="zh-CN"/>
        </w:rPr>
        <w:t>二、企业布局</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1</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企业布局描述（附厂区布局图及照片）。</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2</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建成投产时间和最后核定生产规模。</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3</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企业现有生产规模及有关情况描述。</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黑体" w:hAnsi="黑体" w:eastAsia="黑体" w:cs="黑体"/>
          <w:color w:val="000000"/>
          <w:sz w:val="32"/>
          <w:szCs w:val="20"/>
          <w:highlight w:val="none"/>
          <w:lang w:val="en-US" w:eastAsia="zh-CN"/>
        </w:rPr>
      </w:pPr>
      <w:r>
        <w:rPr>
          <w:rFonts w:hint="eastAsia" w:ascii="黑体" w:hAnsi="黑体" w:eastAsia="黑体" w:cs="黑体"/>
          <w:color w:val="000000"/>
          <w:sz w:val="32"/>
          <w:szCs w:val="20"/>
          <w:highlight w:val="none"/>
          <w:lang w:eastAsia="zh-CN"/>
        </w:rPr>
        <w:t>三、质量、</w:t>
      </w:r>
      <w:r>
        <w:rPr>
          <w:rFonts w:hint="eastAsia" w:ascii="黑体" w:hAnsi="黑体" w:eastAsia="黑体" w:cs="黑体"/>
          <w:color w:val="000000"/>
          <w:sz w:val="32"/>
          <w:szCs w:val="20"/>
          <w:highlight w:val="none"/>
          <w:lang w:val="en-US" w:eastAsia="zh-CN"/>
        </w:rPr>
        <w:t>工艺和装备</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1</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企业质量管理体系描述，可提供相关第三方认证的GB/T19001质量管理体系的相关材料或有关情况的文字说明。</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2</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企业试验室检验仪器设备情况（并附表格，格式见附表1</w:t>
      </w:r>
      <w:r>
        <w:rPr>
          <w:rFonts w:hint="eastAsia" w:ascii="宋体" w:hAnsi="宋体" w:eastAsia="宋体" w:cs="宋体"/>
          <w:color w:val="000000"/>
          <w:sz w:val="32"/>
          <w:szCs w:val="20"/>
          <w:highlight w:val="none"/>
          <w:lang w:eastAsia="zh-CN"/>
        </w:rPr>
        <w:t>－</w:t>
      </w:r>
      <w:r>
        <w:rPr>
          <w:rFonts w:hint="eastAsia" w:ascii="Times New Roman" w:hAnsi="Times New Roman" w:eastAsia="仿宋_GB2312" w:cs="Times New Roman"/>
          <w:color w:val="000000"/>
          <w:sz w:val="32"/>
          <w:szCs w:val="20"/>
          <w:highlight w:val="none"/>
          <w:lang w:eastAsia="zh-CN"/>
        </w:rPr>
        <w:t>2，可配主要设备照片）。</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3</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质量控制过程实施信息化管理，提升预拌混凝土数字化制造水平情况描述。</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val="en-US" w:eastAsia="zh-CN"/>
        </w:rPr>
        <w:t>4</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企业生产工艺和装备及采用的智能化、信息化有关情况描述。</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黑体" w:hAnsi="黑体" w:eastAsia="黑体" w:cs="黑体"/>
          <w:color w:val="000000"/>
          <w:sz w:val="32"/>
          <w:szCs w:val="20"/>
          <w:highlight w:val="none"/>
          <w:lang w:eastAsia="zh-CN"/>
        </w:rPr>
      </w:pPr>
      <w:r>
        <w:rPr>
          <w:rFonts w:hint="eastAsia" w:ascii="黑体" w:hAnsi="黑体" w:eastAsia="黑体" w:cs="黑体"/>
          <w:color w:val="000000"/>
          <w:sz w:val="32"/>
          <w:szCs w:val="20"/>
          <w:highlight w:val="none"/>
          <w:lang w:eastAsia="zh-CN"/>
        </w:rPr>
        <w:t>四、绿色生产与环境保护</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1</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企业依据《预拌混凝土绿色生产及管理技术规程》（JGJ/T328）</w:t>
      </w:r>
      <w:r>
        <w:rPr>
          <w:rFonts w:hint="eastAsia" w:ascii="Times New Roman" w:hAnsi="Times New Roman" w:eastAsia="仿宋_GB2312" w:cs="Times New Roman"/>
          <w:color w:val="000000"/>
          <w:sz w:val="32"/>
          <w:szCs w:val="20"/>
          <w:highlight w:val="none"/>
          <w:lang w:val="en-US" w:eastAsia="zh-CN"/>
        </w:rPr>
        <w:t>开展</w:t>
      </w:r>
      <w:r>
        <w:rPr>
          <w:rFonts w:hint="eastAsia" w:ascii="Times New Roman" w:hAnsi="Times New Roman" w:eastAsia="仿宋_GB2312" w:cs="Times New Roman"/>
          <w:color w:val="000000"/>
          <w:sz w:val="32"/>
          <w:szCs w:val="20"/>
          <w:highlight w:val="none"/>
          <w:lang w:eastAsia="zh-CN"/>
        </w:rPr>
        <w:t>自评（并附表格，格式见附表1</w:t>
      </w:r>
      <w:r>
        <w:rPr>
          <w:rFonts w:hint="eastAsia" w:ascii="宋体" w:hAnsi="宋体" w:eastAsia="宋体" w:cs="宋体"/>
          <w:color w:val="000000"/>
          <w:sz w:val="32"/>
          <w:szCs w:val="20"/>
          <w:highlight w:val="none"/>
          <w:lang w:eastAsia="zh-CN"/>
        </w:rPr>
        <w:t>－</w:t>
      </w:r>
      <w:r>
        <w:rPr>
          <w:rFonts w:hint="eastAsia" w:ascii="Times New Roman" w:hAnsi="Times New Roman" w:eastAsia="仿宋_GB2312" w:cs="Times New Roman"/>
          <w:color w:val="000000"/>
          <w:sz w:val="32"/>
          <w:szCs w:val="20"/>
          <w:highlight w:val="none"/>
          <w:lang w:eastAsia="zh-CN"/>
        </w:rPr>
        <w:t>3）。</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2</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企业通过建设项目环境影响评价，并自验收备案，说明环评和竣工验收批复提出的有关要求落实情况。</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3</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企业环境管理体系描述，可提供相关第三方认证的GB/T24001环境管理体系的相关材料或者有关情况的文字说明。</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4</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企业环境保护措施及环境污染监测设施综合描述（主要设施可配照片）。</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5</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企业排污量情况说明，污染物总量减排任务完成情况。</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6</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环境应急预案的备案情况，包括环境风险评估和应急资源调查情况。</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7</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一般工业固体废物利用处置情况，危险废物利用、处置、流转情况（无害化处理、处置协议等材料）。</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8</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企业应对申请公告当年及上一年度内是否符合环保法律法规、是否发生环保违法违规行为等情况作出说明，如因环境违法违规行为受到处罚或责令整改的，应提供整改完成的相关材料。</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9</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企业采用环保信息化监测控制系统自行监测情况及信息公开情况。</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黑体" w:hAnsi="黑体" w:eastAsia="黑体" w:cs="黑体"/>
          <w:color w:val="000000"/>
          <w:sz w:val="32"/>
          <w:szCs w:val="20"/>
          <w:highlight w:val="none"/>
          <w:lang w:eastAsia="zh-CN"/>
        </w:rPr>
      </w:pPr>
      <w:r>
        <w:rPr>
          <w:rFonts w:hint="eastAsia" w:ascii="黑体" w:hAnsi="黑体" w:eastAsia="黑体" w:cs="黑体"/>
          <w:color w:val="000000"/>
          <w:sz w:val="32"/>
          <w:szCs w:val="20"/>
          <w:highlight w:val="none"/>
          <w:lang w:eastAsia="zh-CN"/>
        </w:rPr>
        <w:t>五、能源消耗与资源综合利用</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1</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企业能源管理体系描述，能源、水计量器具配备情况描述。可提供相关第三方认证的GB/T23331能源管理体系的相关材料或有关情况的文字说明。</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2</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企业通过节能审查情况，并说明有关要求的落实情况。</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3</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企业节能和资源综合利用设施及运行情况（可配主要设施照片及资源综合利用情况说明）。</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黑体" w:hAnsi="黑体" w:eastAsia="黑体" w:cs="黑体"/>
          <w:color w:val="000000"/>
          <w:sz w:val="32"/>
          <w:szCs w:val="20"/>
          <w:highlight w:val="none"/>
          <w:lang w:eastAsia="zh-CN"/>
        </w:rPr>
        <w:t>六、安全生产、职业健康和社会责任</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1</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企业安全生产和职业卫生管理体系描述，可提供相关第三方认证的GB/T28001职业健康安全管理体系的相关材料或者有关情况的文字说明。</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2</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涉及危险化学品的，应提供企业所在地应急管理部门颁发的相关许可证书，如不能提供应进行文字说明。</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3</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企业上缴税收和缴纳职工社会保险情况。</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4</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安全生产标准化证书复印件，如不能提供应进行文字说明。</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Times New Roman" w:hAnsi="Times New Roman" w:eastAsia="仿宋_GB2312" w:cs="Times New Roman"/>
          <w:color w:val="000000"/>
          <w:sz w:val="32"/>
          <w:szCs w:val="20"/>
          <w:highlight w:val="none"/>
          <w:lang w:eastAsia="zh-CN"/>
        </w:rPr>
        <w:t>5</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color w:val="000000"/>
          <w:sz w:val="32"/>
          <w:szCs w:val="20"/>
          <w:highlight w:val="none"/>
          <w:lang w:eastAsia="zh-CN"/>
        </w:rPr>
        <w:t>企业应对申请公告当年及上一年度内是否符合安全生产法律法规、是否发生安全生产违法违规行为等情况做出文字说明，如因安全生产违法违规行为受到处罚或责令整改的，应提供整改完成的相关材料。</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Times New Roman" w:hAnsi="Times New Roman" w:eastAsia="仿宋_GB2312" w:cs="Times New Roman"/>
          <w:color w:val="000000"/>
          <w:sz w:val="32"/>
          <w:szCs w:val="20"/>
          <w:highlight w:val="none"/>
          <w:lang w:eastAsia="zh-CN"/>
        </w:rPr>
      </w:pPr>
      <w:r>
        <w:rPr>
          <w:rFonts w:hint="eastAsia" w:ascii="黑体" w:hAnsi="黑体" w:eastAsia="黑体" w:cs="黑体"/>
          <w:color w:val="000000"/>
          <w:sz w:val="32"/>
          <w:szCs w:val="20"/>
          <w:highlight w:val="none"/>
          <w:lang w:eastAsia="zh-CN"/>
        </w:rPr>
        <w:t>注：</w:t>
      </w:r>
      <w:r>
        <w:rPr>
          <w:rFonts w:hint="eastAsia" w:ascii="Times New Roman" w:hAnsi="Times New Roman" w:eastAsia="仿宋_GB2312" w:cs="Times New Roman"/>
          <w:color w:val="000000"/>
          <w:sz w:val="32"/>
          <w:szCs w:val="20"/>
          <w:highlight w:val="none"/>
          <w:lang w:eastAsia="zh-CN"/>
        </w:rPr>
        <w:t>所有材料及说明的复印件需加盖本单位公章。</w:t>
      </w:r>
      <w:r>
        <w:rPr>
          <w:rFonts w:hint="eastAsia" w:ascii="Times New Roman" w:hAnsi="Times New Roman" w:eastAsia="仿宋_GB2312" w:cs="Times New Roman"/>
          <w:color w:val="000000"/>
          <w:sz w:val="32"/>
          <w:szCs w:val="20"/>
          <w:highlight w:val="none"/>
          <w:lang w:val="en-US" w:eastAsia="zh-CN"/>
        </w:rPr>
        <w:t>如不能提供要求的材料，须说明情况</w:t>
      </w:r>
      <w:r>
        <w:rPr>
          <w:rFonts w:hint="eastAsia" w:ascii="Times New Roman" w:hAnsi="Times New Roman" w:eastAsia="仿宋_GB2312" w:cs="Times New Roman"/>
          <w:color w:val="000000"/>
          <w:sz w:val="32"/>
          <w:szCs w:val="20"/>
          <w:highlight w:val="none"/>
          <w:lang w:eastAsia="zh-CN"/>
        </w:rPr>
        <w:t>。</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val="0"/>
        <w:autoSpaceDN w:val="0"/>
        <w:bidi w:val="0"/>
        <w:adjustRightInd/>
        <w:snapToGrid/>
        <w:spacing w:before="0" w:after="0" w:line="600" w:lineRule="exact"/>
        <w:jc w:val="left"/>
        <w:textAlignment w:val="auto"/>
        <w:rPr>
          <w:rFonts w:hint="default" w:ascii="Times New Roman" w:hAnsi="Times New Roman" w:eastAsia="黑体" w:cs="Times New Roman"/>
          <w:b w:val="0"/>
          <w:bCs/>
          <w:color w:val="000000"/>
          <w:kern w:val="0"/>
          <w:sz w:val="32"/>
          <w:szCs w:val="32"/>
          <w:lang w:val="en-US" w:eastAsia="zh-CN"/>
        </w:rPr>
      </w:pPr>
      <w:r>
        <w:rPr>
          <w:rFonts w:hint="default" w:ascii="Times New Roman" w:hAnsi="Times New Roman" w:eastAsia="黑体" w:cs="Times New Roman"/>
          <w:b w:val="0"/>
          <w:bCs/>
          <w:color w:val="000000"/>
          <w:kern w:val="0"/>
          <w:sz w:val="32"/>
          <w:szCs w:val="32"/>
          <w:lang w:val="en-US" w:eastAsia="zh-CN"/>
        </w:rPr>
        <w:t>附表1</w:t>
      </w:r>
      <w:r>
        <w:rPr>
          <w:rFonts w:hint="eastAsia" w:ascii="宋体" w:hAnsi="宋体" w:eastAsia="宋体" w:cs="宋体"/>
          <w:kern w:val="2"/>
          <w:sz w:val="32"/>
          <w:szCs w:val="32"/>
          <w:lang w:val="en-US" w:eastAsia="zh-CN" w:bidi="ar-SA"/>
        </w:rPr>
        <w:t>－</w:t>
      </w:r>
      <w:r>
        <w:rPr>
          <w:rFonts w:hint="default" w:ascii="Times New Roman" w:hAnsi="Times New Roman" w:eastAsia="黑体" w:cs="Times New Roman"/>
          <w:b w:val="0"/>
          <w:bCs/>
          <w:color w:val="000000"/>
          <w:kern w:val="0"/>
          <w:sz w:val="32"/>
          <w:szCs w:val="32"/>
          <w:lang w:val="en-US" w:eastAsia="zh-CN"/>
        </w:rPr>
        <w:t>1</w:t>
      </w: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r>
        <w:rPr>
          <w:rFonts w:hint="eastAsia" w:ascii="方正小标宋简体" w:hAnsi="方正小标宋简体" w:eastAsia="方正小标宋简体" w:cs="方正小标宋简体"/>
          <w:b w:val="0"/>
          <w:bCs w:val="0"/>
          <w:color w:val="000000"/>
          <w:kern w:val="44"/>
          <w:sz w:val="32"/>
          <w:szCs w:val="32"/>
        </w:rPr>
        <w:t>企业基本情况表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4"/>
        <w:gridCol w:w="1377"/>
        <w:gridCol w:w="244"/>
        <w:gridCol w:w="1134"/>
        <w:gridCol w:w="1444"/>
        <w:gridCol w:w="100"/>
        <w:gridCol w:w="1149"/>
        <w:gridCol w:w="284"/>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4" w:type="dxa"/>
            <w:noWrap w:val="0"/>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企业名称</w:t>
            </w:r>
          </w:p>
        </w:tc>
        <w:tc>
          <w:tcPr>
            <w:tcW w:w="4199" w:type="dxa"/>
            <w:gridSpan w:val="4"/>
            <w:noWrap w:val="0"/>
            <w:vAlign w:val="center"/>
          </w:tcPr>
          <w:p>
            <w:pPr>
              <w:widowControl/>
              <w:jc w:val="left"/>
              <w:rPr>
                <w:rFonts w:hint="default" w:ascii="Times New Roman" w:hAnsi="Times New Roman" w:eastAsia="仿宋_GB2312" w:cs="Times New Roman"/>
                <w:color w:val="000000"/>
                <w:kern w:val="0"/>
              </w:rPr>
            </w:pPr>
          </w:p>
        </w:tc>
        <w:tc>
          <w:tcPr>
            <w:tcW w:w="1249" w:type="dxa"/>
            <w:gridSpan w:val="2"/>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统一社会信用代码</w:t>
            </w:r>
          </w:p>
        </w:tc>
        <w:tc>
          <w:tcPr>
            <w:tcW w:w="1696" w:type="dxa"/>
            <w:gridSpan w:val="2"/>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4" w:type="dxa"/>
            <w:noWrap w:val="0"/>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注册地址</w:t>
            </w:r>
          </w:p>
        </w:tc>
        <w:tc>
          <w:tcPr>
            <w:tcW w:w="4199" w:type="dxa"/>
            <w:gridSpan w:val="4"/>
            <w:tcBorders>
              <w:right w:val="single" w:color="auto" w:sz="4" w:space="0"/>
            </w:tcBorders>
            <w:noWrap w:val="0"/>
            <w:vAlign w:val="center"/>
          </w:tcPr>
          <w:p>
            <w:pPr>
              <w:widowControl/>
              <w:jc w:val="left"/>
              <w:rPr>
                <w:rFonts w:hint="default" w:ascii="Times New Roman" w:hAnsi="Times New Roman" w:eastAsia="仿宋_GB2312" w:cs="Times New Roman"/>
                <w:color w:val="000000"/>
                <w:kern w:val="0"/>
              </w:rPr>
            </w:pPr>
          </w:p>
        </w:tc>
        <w:tc>
          <w:tcPr>
            <w:tcW w:w="1249" w:type="dxa"/>
            <w:gridSpan w:val="2"/>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成立时间</w:t>
            </w:r>
          </w:p>
        </w:tc>
        <w:tc>
          <w:tcPr>
            <w:tcW w:w="1696" w:type="dxa"/>
            <w:gridSpan w:val="2"/>
            <w:tcBorders>
              <w:left w:val="single" w:color="auto" w:sz="4" w:space="0"/>
            </w:tcBorders>
            <w:noWrap w:val="0"/>
            <w:tcMar>
              <w:top w:w="0" w:type="dxa"/>
              <w:left w:w="108" w:type="dxa"/>
              <w:bottom w:w="0" w:type="dxa"/>
              <w:right w:w="108" w:type="dxa"/>
            </w:tcMar>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4"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法定代表人</w:t>
            </w:r>
          </w:p>
        </w:tc>
        <w:tc>
          <w:tcPr>
            <w:tcW w:w="4199" w:type="dxa"/>
            <w:gridSpan w:val="4"/>
            <w:tcBorders>
              <w:right w:val="single" w:color="auto" w:sz="4" w:space="0"/>
            </w:tcBorders>
            <w:noWrap w:val="0"/>
            <w:tcMar>
              <w:top w:w="0" w:type="dxa"/>
              <w:left w:w="108" w:type="dxa"/>
              <w:bottom w:w="0" w:type="dxa"/>
              <w:right w:w="108" w:type="dxa"/>
            </w:tcMar>
            <w:vAlign w:val="center"/>
          </w:tcPr>
          <w:p>
            <w:pPr>
              <w:widowControl/>
              <w:jc w:val="left"/>
              <w:rPr>
                <w:rFonts w:hint="default" w:ascii="Times New Roman" w:hAnsi="Times New Roman" w:eastAsia="仿宋_GB2312" w:cs="Times New Roman"/>
                <w:color w:val="000000"/>
                <w:kern w:val="0"/>
              </w:rPr>
            </w:pPr>
          </w:p>
        </w:tc>
        <w:tc>
          <w:tcPr>
            <w:tcW w:w="1249" w:type="dxa"/>
            <w:gridSpan w:val="2"/>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邮    编</w:t>
            </w:r>
          </w:p>
        </w:tc>
        <w:tc>
          <w:tcPr>
            <w:tcW w:w="1696" w:type="dxa"/>
            <w:gridSpan w:val="2"/>
            <w:tcBorders>
              <w:left w:val="single" w:color="auto" w:sz="4" w:space="0"/>
            </w:tcBorders>
            <w:noWrap w:val="0"/>
            <w:tcMar>
              <w:top w:w="0" w:type="dxa"/>
              <w:left w:w="108" w:type="dxa"/>
              <w:bottom w:w="0" w:type="dxa"/>
              <w:right w:w="108" w:type="dxa"/>
            </w:tcMar>
            <w:vAlign w:val="center"/>
          </w:tcPr>
          <w:p>
            <w:pPr>
              <w:widowControl/>
              <w:jc w:val="left"/>
              <w:rPr>
                <w:rFonts w:hint="default" w:ascii="Times New Roman" w:hAnsi="Times New Roman" w:eastAsia="仿宋_GB2312" w:cs="Times New Roman"/>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4"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联 系 人</w:t>
            </w:r>
          </w:p>
        </w:tc>
        <w:tc>
          <w:tcPr>
            <w:tcW w:w="1621" w:type="dxa"/>
            <w:gridSpan w:val="2"/>
            <w:noWrap w:val="0"/>
            <w:tcMar>
              <w:top w:w="0" w:type="dxa"/>
              <w:left w:w="108" w:type="dxa"/>
              <w:bottom w:w="0" w:type="dxa"/>
              <w:right w:w="108" w:type="dxa"/>
            </w:tcMar>
            <w:vAlign w:val="center"/>
          </w:tcPr>
          <w:p>
            <w:pPr>
              <w:widowControl/>
              <w:jc w:val="left"/>
              <w:rPr>
                <w:rFonts w:hint="default" w:ascii="Times New Roman" w:hAnsi="Times New Roman" w:eastAsia="仿宋_GB2312" w:cs="Times New Roman"/>
                <w:color w:val="000000"/>
                <w:kern w:val="0"/>
              </w:rPr>
            </w:pPr>
          </w:p>
        </w:tc>
        <w:tc>
          <w:tcPr>
            <w:tcW w:w="1134"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联系电话</w:t>
            </w:r>
          </w:p>
        </w:tc>
        <w:tc>
          <w:tcPr>
            <w:tcW w:w="1444" w:type="dxa"/>
            <w:noWrap w:val="0"/>
            <w:tcMar>
              <w:top w:w="0" w:type="dxa"/>
              <w:left w:w="108" w:type="dxa"/>
              <w:bottom w:w="0" w:type="dxa"/>
              <w:right w:w="108" w:type="dxa"/>
            </w:tcMar>
            <w:vAlign w:val="center"/>
          </w:tcPr>
          <w:p>
            <w:pPr>
              <w:widowControl/>
              <w:jc w:val="left"/>
              <w:rPr>
                <w:rFonts w:hint="default" w:ascii="Times New Roman" w:hAnsi="Times New Roman" w:eastAsia="仿宋_GB2312" w:cs="Times New Roman"/>
                <w:color w:val="000000"/>
                <w:kern w:val="0"/>
              </w:rPr>
            </w:pPr>
          </w:p>
        </w:tc>
        <w:tc>
          <w:tcPr>
            <w:tcW w:w="1249" w:type="dxa"/>
            <w:gridSpan w:val="2"/>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E-mail</w:t>
            </w:r>
          </w:p>
        </w:tc>
        <w:tc>
          <w:tcPr>
            <w:tcW w:w="1696" w:type="dxa"/>
            <w:gridSpan w:val="2"/>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4"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经济类型</w:t>
            </w:r>
          </w:p>
        </w:tc>
        <w:tc>
          <w:tcPr>
            <w:tcW w:w="7144" w:type="dxa"/>
            <w:gridSpan w:val="8"/>
            <w:noWrap w:val="0"/>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□国有  □集体  □民营  □外商独资  □中外合资  □港澳台投资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4"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企业形式</w:t>
            </w:r>
          </w:p>
        </w:tc>
        <w:tc>
          <w:tcPr>
            <w:tcW w:w="7144" w:type="dxa"/>
            <w:gridSpan w:val="8"/>
            <w:noWrap w:val="0"/>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□有限责任      □股份有限       □股份合作制       □个人独资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4"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股权结构</w:t>
            </w:r>
          </w:p>
        </w:tc>
        <w:tc>
          <w:tcPr>
            <w:tcW w:w="7144" w:type="dxa"/>
            <w:gridSpan w:val="8"/>
            <w:noWrap w:val="0"/>
            <w:tcMar>
              <w:top w:w="0" w:type="dxa"/>
              <w:left w:w="108" w:type="dxa"/>
              <w:bottom w:w="0" w:type="dxa"/>
              <w:right w:w="108" w:type="dxa"/>
            </w:tcMar>
            <w:vAlign w:val="center"/>
          </w:tcPr>
          <w:p>
            <w:pPr>
              <w:widowControl/>
              <w:jc w:val="left"/>
              <w:rPr>
                <w:rFonts w:hint="default" w:ascii="Times New Roman" w:hAnsi="Times New Roman" w:eastAsia="仿宋_GB2312" w:cs="Times New Roman"/>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4"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是否上市情况</w:t>
            </w:r>
          </w:p>
        </w:tc>
        <w:tc>
          <w:tcPr>
            <w:tcW w:w="7144" w:type="dxa"/>
            <w:gridSpan w:val="8"/>
            <w:noWrap w:val="0"/>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eastAsia="仿宋_GB2312" w:cs="Times New Roman"/>
                <w:color w:val="000000"/>
                <w:kern w:val="0"/>
                <w:u w:val="single"/>
              </w:rPr>
            </w:pPr>
            <w:r>
              <w:rPr>
                <w:rFonts w:hint="default" w:ascii="Times New Roman" w:hAnsi="Times New Roman" w:eastAsia="仿宋_GB2312" w:cs="Times New Roman"/>
                <w:color w:val="000000"/>
                <w:kern w:val="0"/>
              </w:rPr>
              <w:t>□A股         □B股         □H股         □其他</w:t>
            </w:r>
            <w:r>
              <w:rPr>
                <w:rFonts w:hint="default" w:ascii="Times New Roman" w:hAnsi="Times New Roman" w:eastAsia="仿宋_GB2312" w:cs="Times New Roman"/>
                <w:color w:val="000000"/>
                <w:kern w:val="0"/>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834" w:type="dxa"/>
            <w:noWrap w:val="0"/>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是否通过认证情况</w:t>
            </w:r>
          </w:p>
        </w:tc>
        <w:tc>
          <w:tcPr>
            <w:tcW w:w="4199" w:type="dxa"/>
            <w:gridSpan w:val="4"/>
            <w:noWrap w:val="0"/>
            <w:vAlign w:val="center"/>
          </w:tcPr>
          <w:p>
            <w:pPr>
              <w:widowControl/>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xml:space="preserve">  □质量管理体系   □能源管理体系</w:t>
            </w:r>
          </w:p>
          <w:p>
            <w:pPr>
              <w:widowControl/>
              <w:ind w:left="1050" w:hanging="1100" w:hangingChars="500"/>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 xml:space="preserve">  □环境管理体系   □</w:t>
            </w:r>
            <w:r>
              <w:rPr>
                <w:rFonts w:hint="default" w:ascii="Times New Roman" w:hAnsi="Times New Roman" w:eastAsia="仿宋_GB2312" w:cs="Times New Roman"/>
                <w:color w:val="000000"/>
              </w:rPr>
              <w:t>职业健康安全管理体系</w:t>
            </w:r>
          </w:p>
          <w:p>
            <w:pPr>
              <w:widowControl/>
              <w:ind w:left="1100" w:leftChars="100" w:hanging="880" w:hangingChars="400"/>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□两化融合管理体系 □其它_______</w:t>
            </w:r>
          </w:p>
        </w:tc>
        <w:tc>
          <w:tcPr>
            <w:tcW w:w="1533" w:type="dxa"/>
            <w:gridSpan w:val="3"/>
            <w:noWrap w:val="0"/>
            <w:tcMar>
              <w:top w:w="0" w:type="dxa"/>
              <w:left w:w="108" w:type="dxa"/>
              <w:bottom w:w="0" w:type="dxa"/>
              <w:right w:w="108" w:type="dxa"/>
            </w:tcMar>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纳税信用</w:t>
            </w:r>
          </w:p>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等级</w:t>
            </w:r>
          </w:p>
        </w:tc>
        <w:tc>
          <w:tcPr>
            <w:tcW w:w="1412"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834" w:type="dxa"/>
            <w:vMerge w:val="restart"/>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申报上年度企业财务情况（万元）</w:t>
            </w:r>
          </w:p>
        </w:tc>
        <w:tc>
          <w:tcPr>
            <w:tcW w:w="1377" w:type="dxa"/>
            <w:noWrap w:val="0"/>
            <w:tcMar>
              <w:top w:w="0" w:type="dxa"/>
              <w:left w:w="108" w:type="dxa"/>
              <w:bottom w:w="0" w:type="dxa"/>
              <w:right w:w="108" w:type="dxa"/>
            </w:tcMar>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总销售收入</w:t>
            </w:r>
          </w:p>
        </w:tc>
        <w:tc>
          <w:tcPr>
            <w:tcW w:w="1378" w:type="dxa"/>
            <w:gridSpan w:val="2"/>
            <w:noWrap w:val="0"/>
            <w:tcMar>
              <w:top w:w="0" w:type="dxa"/>
              <w:left w:w="108" w:type="dxa"/>
              <w:bottom w:w="0" w:type="dxa"/>
              <w:right w:w="108" w:type="dxa"/>
            </w:tcMar>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总利润</w:t>
            </w:r>
          </w:p>
        </w:tc>
        <w:tc>
          <w:tcPr>
            <w:tcW w:w="1544" w:type="dxa"/>
            <w:gridSpan w:val="2"/>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上缴税金总额</w:t>
            </w:r>
          </w:p>
        </w:tc>
        <w:tc>
          <w:tcPr>
            <w:tcW w:w="1433" w:type="dxa"/>
            <w:gridSpan w:val="2"/>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资产总额</w:t>
            </w:r>
          </w:p>
        </w:tc>
        <w:tc>
          <w:tcPr>
            <w:tcW w:w="1412"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净资产总额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834" w:type="dxa"/>
            <w:vMerge w:val="continue"/>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p>
        </w:tc>
        <w:tc>
          <w:tcPr>
            <w:tcW w:w="1377"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p>
        </w:tc>
        <w:tc>
          <w:tcPr>
            <w:tcW w:w="1378" w:type="dxa"/>
            <w:gridSpan w:val="2"/>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p>
        </w:tc>
        <w:tc>
          <w:tcPr>
            <w:tcW w:w="1544" w:type="dxa"/>
            <w:gridSpan w:val="2"/>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p>
        </w:tc>
        <w:tc>
          <w:tcPr>
            <w:tcW w:w="1433" w:type="dxa"/>
            <w:gridSpan w:val="2"/>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p>
        </w:tc>
        <w:tc>
          <w:tcPr>
            <w:tcW w:w="1412"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4"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申报时员工情况</w:t>
            </w:r>
          </w:p>
        </w:tc>
        <w:tc>
          <w:tcPr>
            <w:tcW w:w="7144" w:type="dxa"/>
            <w:gridSpan w:val="8"/>
            <w:noWrap w:val="0"/>
            <w:tcMar>
              <w:top w:w="0" w:type="dxa"/>
              <w:left w:w="108" w:type="dxa"/>
              <w:bottom w:w="0" w:type="dxa"/>
              <w:right w:w="108" w:type="dxa"/>
            </w:tcMar>
            <w:vAlign w:val="center"/>
          </w:tcPr>
          <w:p>
            <w:pPr>
              <w:widowControl/>
              <w:spacing w:before="100" w:beforeAutospacing="1" w:after="100" w:afterAutospacing="1"/>
              <w:jc w:val="left"/>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全体员工：</w:t>
            </w:r>
            <w:r>
              <w:rPr>
                <w:rFonts w:hint="default" w:ascii="Times New Roman" w:hAnsi="Times New Roman" w:eastAsia="仿宋_GB2312" w:cs="Times New Roman"/>
                <w:color w:val="000000"/>
                <w:kern w:val="0"/>
                <w:u w:val="single"/>
              </w:rPr>
              <w:t xml:space="preserve">     </w:t>
            </w:r>
            <w:r>
              <w:rPr>
                <w:rFonts w:hint="default" w:ascii="Times New Roman" w:hAnsi="Times New Roman" w:eastAsia="仿宋_GB2312" w:cs="Times New Roman"/>
                <w:color w:val="000000"/>
                <w:kern w:val="0"/>
              </w:rPr>
              <w:t>人， 其中从事生产</w:t>
            </w:r>
            <w:r>
              <w:rPr>
                <w:rFonts w:hint="default" w:ascii="Times New Roman" w:hAnsi="Times New Roman" w:eastAsia="仿宋_GB2312" w:cs="Times New Roman"/>
                <w:color w:val="000000"/>
                <w:kern w:val="0"/>
                <w:u w:val="single"/>
              </w:rPr>
              <w:t xml:space="preserve">     </w:t>
            </w:r>
            <w:r>
              <w:rPr>
                <w:rFonts w:hint="default" w:ascii="Times New Roman" w:hAnsi="Times New Roman" w:eastAsia="仿宋_GB2312" w:cs="Times New Roman"/>
                <w:color w:val="000000"/>
                <w:kern w:val="0"/>
              </w:rPr>
              <w:t>人， 管理</w:t>
            </w:r>
            <w:r>
              <w:rPr>
                <w:rFonts w:hint="default" w:ascii="Times New Roman" w:hAnsi="Times New Roman" w:eastAsia="仿宋_GB2312" w:cs="Times New Roman"/>
                <w:color w:val="000000"/>
                <w:kern w:val="0"/>
                <w:u w:val="single"/>
              </w:rPr>
              <w:t xml:space="preserve">     </w:t>
            </w:r>
            <w:r>
              <w:rPr>
                <w:rFonts w:hint="default" w:ascii="Times New Roman" w:hAnsi="Times New Roman" w:eastAsia="仿宋_GB2312" w:cs="Times New Roman"/>
                <w:color w:val="000000"/>
                <w:kern w:val="0"/>
              </w:rPr>
              <w:t>人， 技术</w:t>
            </w:r>
            <w:r>
              <w:rPr>
                <w:rFonts w:hint="default" w:ascii="Times New Roman" w:hAnsi="Times New Roman" w:eastAsia="仿宋_GB2312" w:cs="Times New Roman"/>
                <w:color w:val="000000"/>
                <w:kern w:val="0"/>
                <w:u w:val="single"/>
              </w:rPr>
              <w:t xml:space="preserve">     </w:t>
            </w:r>
            <w:r>
              <w:rPr>
                <w:rFonts w:hint="default" w:ascii="Times New Roman" w:hAnsi="Times New Roman" w:eastAsia="仿宋_GB2312" w:cs="Times New Roman"/>
                <w:color w:val="000000"/>
                <w:kern w:val="0"/>
              </w:rPr>
              <w:t>人（具有工程序列高级职称人员</w:t>
            </w:r>
            <w:r>
              <w:rPr>
                <w:rFonts w:hint="default" w:ascii="Times New Roman" w:hAnsi="Times New Roman" w:eastAsia="仿宋_GB2312" w:cs="Times New Roman"/>
                <w:color w:val="000000"/>
                <w:kern w:val="0"/>
                <w:u w:val="single"/>
              </w:rPr>
              <w:t xml:space="preserve">     </w:t>
            </w:r>
            <w:r>
              <w:rPr>
                <w:rFonts w:hint="default" w:ascii="Times New Roman" w:hAnsi="Times New Roman" w:eastAsia="仿宋_GB2312" w:cs="Times New Roman"/>
                <w:color w:val="000000"/>
                <w:kern w:val="0"/>
              </w:rPr>
              <w:t>人，具有工程序列中级职称人员</w:t>
            </w:r>
            <w:r>
              <w:rPr>
                <w:rFonts w:hint="default" w:ascii="Times New Roman" w:hAnsi="Times New Roman" w:eastAsia="仿宋_GB2312" w:cs="Times New Roman"/>
                <w:color w:val="000000"/>
                <w:kern w:val="0"/>
                <w:u w:val="single"/>
              </w:rPr>
              <w:t xml:space="preserve">       </w:t>
            </w:r>
            <w:r>
              <w:rPr>
                <w:rFonts w:hint="default" w:ascii="Times New Roman" w:hAnsi="Times New Roman" w:eastAsia="仿宋_GB2312" w:cs="Times New Roman"/>
                <w:color w:val="000000"/>
                <w:kern w:val="0"/>
              </w:rPr>
              <w:t>人，试验员</w:t>
            </w:r>
            <w:r>
              <w:rPr>
                <w:rFonts w:hint="default" w:ascii="Times New Roman" w:hAnsi="Times New Roman" w:eastAsia="仿宋_GB2312" w:cs="Times New Roman"/>
                <w:color w:val="000000"/>
                <w:kern w:val="0"/>
                <w:u w:val="single"/>
              </w:rPr>
              <w:t xml:space="preserve">       </w:t>
            </w:r>
            <w:r>
              <w:rPr>
                <w:rFonts w:hint="default" w:ascii="Times New Roman" w:hAnsi="Times New Roman" w:eastAsia="仿宋_GB2312" w:cs="Times New Roman"/>
                <w:color w:val="000000"/>
                <w:kern w:val="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atLeast"/>
          <w:jc w:val="center"/>
        </w:trPr>
        <w:tc>
          <w:tcPr>
            <w:tcW w:w="1834"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申报上年度生产能力（立方米），固废处理及生产线规模（万吨/年）</w:t>
            </w:r>
          </w:p>
        </w:tc>
        <w:tc>
          <w:tcPr>
            <w:tcW w:w="7144" w:type="dxa"/>
            <w:gridSpan w:val="8"/>
            <w:noWrap w:val="0"/>
            <w:tcMar>
              <w:top w:w="0" w:type="dxa"/>
              <w:left w:w="108" w:type="dxa"/>
              <w:bottom w:w="0" w:type="dxa"/>
              <w:right w:w="108" w:type="dxa"/>
            </w:tcMar>
            <w:vAlign w:val="top"/>
          </w:tcPr>
          <w:p>
            <w:pPr>
              <w:widowControl/>
              <w:spacing w:before="100" w:beforeAutospacing="1" w:after="100" w:afterAutospacing="1"/>
              <w:rPr>
                <w:rFonts w:hint="default" w:ascii="Times New Roman" w:hAnsi="Times New Roman" w:eastAsia="仿宋_GB2312" w:cs="Times New Roman"/>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1" w:hRule="atLeast"/>
          <w:jc w:val="center"/>
        </w:trPr>
        <w:tc>
          <w:tcPr>
            <w:tcW w:w="1834" w:type="dxa"/>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申报上年度实际产量（立方米），固废实际处理量（万吨）</w:t>
            </w:r>
          </w:p>
        </w:tc>
        <w:tc>
          <w:tcPr>
            <w:tcW w:w="7144" w:type="dxa"/>
            <w:gridSpan w:val="8"/>
            <w:noWrap w:val="0"/>
            <w:tcMar>
              <w:top w:w="0" w:type="dxa"/>
              <w:left w:w="108" w:type="dxa"/>
              <w:bottom w:w="0" w:type="dxa"/>
              <w:right w:w="108" w:type="dxa"/>
            </w:tcMar>
            <w:vAlign w:val="top"/>
          </w:tcPr>
          <w:p>
            <w:pPr>
              <w:widowControl/>
              <w:spacing w:before="100" w:beforeAutospacing="1" w:after="100" w:afterAutospacing="1"/>
              <w:rPr>
                <w:rFonts w:hint="default" w:ascii="Times New Roman" w:hAnsi="Times New Roman" w:eastAsia="仿宋_GB2312" w:cs="Times New Roman"/>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834" w:type="dxa"/>
            <w:noWrap w:val="0"/>
            <w:tcMar>
              <w:top w:w="0" w:type="dxa"/>
              <w:left w:w="108" w:type="dxa"/>
              <w:bottom w:w="0" w:type="dxa"/>
              <w:right w:w="108" w:type="dxa"/>
            </w:tcMar>
            <w:vAlign w:val="center"/>
          </w:tcPr>
          <w:p>
            <w:pPr>
              <w:widowControl/>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用地总面积（平方米）</w:t>
            </w:r>
          </w:p>
        </w:tc>
        <w:tc>
          <w:tcPr>
            <w:tcW w:w="7144" w:type="dxa"/>
            <w:gridSpan w:val="8"/>
            <w:noWrap w:val="0"/>
            <w:tcMar>
              <w:top w:w="0" w:type="dxa"/>
              <w:left w:w="108" w:type="dxa"/>
              <w:bottom w:w="0" w:type="dxa"/>
              <w:right w:w="108" w:type="dxa"/>
            </w:tcMar>
            <w:vAlign w:val="center"/>
          </w:tcPr>
          <w:p>
            <w:pPr>
              <w:widowControl/>
              <w:spacing w:before="100" w:beforeAutospacing="1" w:after="100" w:afterAutospacing="1"/>
              <w:jc w:val="center"/>
              <w:rPr>
                <w:rFonts w:hint="default" w:ascii="Times New Roman" w:hAnsi="Times New Roman" w:eastAsia="仿宋_GB2312" w:cs="Times New Roman"/>
                <w:color w:val="000000"/>
                <w:kern w:val="0"/>
              </w:rPr>
            </w:pPr>
          </w:p>
        </w:tc>
      </w:tr>
    </w:tbl>
    <w:p>
      <w:pPr>
        <w:keepNext w:val="0"/>
        <w:keepLines w:val="0"/>
        <w:pageBreakBefore w:val="0"/>
        <w:widowControl/>
        <w:kinsoku/>
        <w:wordWrap/>
        <w:overflowPunct/>
        <w:topLinePunct w:val="0"/>
        <w:autoSpaceDE w:val="0"/>
        <w:autoSpaceDN w:val="0"/>
        <w:bidi w:val="0"/>
        <w:adjustRightInd/>
        <w:snapToGrid/>
        <w:spacing w:before="0" w:after="0" w:line="600" w:lineRule="exact"/>
        <w:jc w:val="left"/>
        <w:textAlignment w:val="auto"/>
        <w:rPr>
          <w:rFonts w:hint="default" w:ascii="Times New Roman" w:hAnsi="Times New Roman" w:eastAsia="黑体" w:cs="Times New Roman"/>
          <w:b w:val="0"/>
          <w:bCs/>
          <w:color w:val="000000"/>
          <w:kern w:val="0"/>
          <w:sz w:val="32"/>
          <w:szCs w:val="32"/>
          <w:lang w:val="en-US" w:eastAsia="zh-CN"/>
        </w:rPr>
      </w:pPr>
      <w:r>
        <w:rPr>
          <w:rFonts w:hint="default" w:ascii="Times New Roman" w:hAnsi="Times New Roman" w:eastAsia="黑体" w:cs="Times New Roman"/>
          <w:b w:val="0"/>
          <w:bCs/>
          <w:color w:val="000000"/>
          <w:kern w:val="0"/>
          <w:sz w:val="32"/>
          <w:szCs w:val="32"/>
          <w:lang w:val="en-US" w:eastAsia="zh-CN"/>
        </w:rPr>
        <w:t>附表1</w:t>
      </w:r>
      <w:r>
        <w:rPr>
          <w:rFonts w:hint="eastAsia" w:ascii="宋体" w:hAnsi="宋体" w:eastAsia="宋体" w:cs="宋体"/>
          <w:kern w:val="2"/>
          <w:sz w:val="32"/>
          <w:szCs w:val="32"/>
          <w:lang w:val="en-US" w:eastAsia="zh-CN" w:bidi="ar-SA"/>
        </w:rPr>
        <w:t>－</w:t>
      </w:r>
      <w:r>
        <w:rPr>
          <w:rFonts w:hint="eastAsia" w:ascii="Times New Roman" w:hAnsi="Times New Roman" w:eastAsia="黑体" w:cs="Times New Roman"/>
          <w:b w:val="0"/>
          <w:bCs/>
          <w:color w:val="000000"/>
          <w:kern w:val="0"/>
          <w:sz w:val="32"/>
          <w:szCs w:val="32"/>
          <w:lang w:val="en-US" w:eastAsia="zh-CN"/>
        </w:rPr>
        <w:t>2</w:t>
      </w: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r>
        <w:rPr>
          <w:rFonts w:hint="eastAsia" w:ascii="方正小标宋简体" w:hAnsi="方正小标宋简体" w:eastAsia="方正小标宋简体" w:cs="方正小标宋简体"/>
          <w:b w:val="0"/>
          <w:bCs w:val="0"/>
          <w:color w:val="000000"/>
          <w:kern w:val="44"/>
          <w:sz w:val="32"/>
          <w:szCs w:val="32"/>
        </w:rPr>
        <w:t>企业试验室检验仪器设备</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760"/>
        <w:gridCol w:w="2561"/>
        <w:gridCol w:w="782"/>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70" w:type="dxa"/>
            <w:noWrap w:val="0"/>
            <w:vAlign w:val="center"/>
          </w:tcPr>
          <w:p>
            <w:pPr>
              <w:jc w:val="center"/>
              <w:rPr>
                <w:rFonts w:hint="eastAsia" w:ascii="黑体" w:hAnsi="黑体" w:eastAsia="黑体" w:cs="黑体"/>
                <w:szCs w:val="21"/>
              </w:rPr>
            </w:pPr>
            <w:r>
              <w:rPr>
                <w:rFonts w:hint="eastAsia" w:ascii="黑体" w:hAnsi="黑体" w:eastAsia="黑体" w:cs="黑体"/>
                <w:szCs w:val="21"/>
              </w:rPr>
              <w:t>序号</w:t>
            </w:r>
          </w:p>
        </w:tc>
        <w:tc>
          <w:tcPr>
            <w:tcW w:w="2760" w:type="dxa"/>
            <w:noWrap w:val="0"/>
            <w:vAlign w:val="center"/>
          </w:tcPr>
          <w:p>
            <w:pPr>
              <w:jc w:val="center"/>
              <w:rPr>
                <w:rFonts w:hint="eastAsia" w:ascii="黑体" w:hAnsi="黑体" w:eastAsia="黑体" w:cs="黑体"/>
                <w:szCs w:val="21"/>
              </w:rPr>
            </w:pPr>
            <w:r>
              <w:rPr>
                <w:rFonts w:hint="eastAsia" w:ascii="黑体" w:hAnsi="黑体" w:eastAsia="黑体" w:cs="黑体"/>
                <w:szCs w:val="21"/>
              </w:rPr>
              <w:t>名称</w:t>
            </w:r>
          </w:p>
        </w:tc>
        <w:tc>
          <w:tcPr>
            <w:tcW w:w="2561" w:type="dxa"/>
            <w:noWrap w:val="0"/>
            <w:vAlign w:val="center"/>
          </w:tcPr>
          <w:p>
            <w:pPr>
              <w:jc w:val="center"/>
              <w:rPr>
                <w:rFonts w:hint="eastAsia" w:ascii="黑体" w:hAnsi="黑体" w:eastAsia="黑体" w:cs="黑体"/>
                <w:szCs w:val="21"/>
              </w:rPr>
            </w:pPr>
            <w:r>
              <w:rPr>
                <w:rFonts w:hint="eastAsia" w:ascii="黑体" w:hAnsi="黑体" w:eastAsia="黑体" w:cs="黑体"/>
                <w:szCs w:val="21"/>
              </w:rPr>
              <w:t>规格型号</w:t>
            </w:r>
          </w:p>
        </w:tc>
        <w:tc>
          <w:tcPr>
            <w:tcW w:w="782" w:type="dxa"/>
            <w:noWrap w:val="0"/>
            <w:vAlign w:val="center"/>
          </w:tcPr>
          <w:p>
            <w:pPr>
              <w:jc w:val="center"/>
              <w:rPr>
                <w:rFonts w:hint="eastAsia" w:ascii="黑体" w:hAnsi="黑体" w:eastAsia="黑体" w:cs="黑体"/>
                <w:szCs w:val="21"/>
              </w:rPr>
            </w:pPr>
            <w:r>
              <w:rPr>
                <w:rFonts w:hint="eastAsia" w:ascii="黑体" w:hAnsi="黑体" w:eastAsia="黑体" w:cs="黑体"/>
                <w:szCs w:val="21"/>
              </w:rPr>
              <w:t>单位</w:t>
            </w:r>
          </w:p>
        </w:tc>
        <w:tc>
          <w:tcPr>
            <w:tcW w:w="1885" w:type="dxa"/>
            <w:noWrap w:val="0"/>
            <w:vAlign w:val="center"/>
          </w:tcPr>
          <w:p>
            <w:pPr>
              <w:jc w:val="center"/>
              <w:rPr>
                <w:rFonts w:hint="eastAsia" w:ascii="黑体" w:hAnsi="黑体" w:eastAsia="黑体" w:cs="黑体"/>
                <w:szCs w:val="21"/>
              </w:rPr>
            </w:pPr>
            <w:r>
              <w:rPr>
                <w:rFonts w:hint="eastAsia" w:ascii="黑体" w:hAnsi="黑体"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水泥胶砂搅拌机</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水泥胶砂振实台</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水泥净浆搅拌机</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水泥电动抗折试验机</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水泥胶砂流动度测定仪</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水泥标准养护箱</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水泥标准稠度及凝结时间测定仪</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雷氏夹膨胀测定仪</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勃氏透气法比表面积仪</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水泥负压筛析仪</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沸煮箱</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高温炉</w:t>
            </w:r>
          </w:p>
        </w:tc>
        <w:tc>
          <w:tcPr>
            <w:tcW w:w="2561"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0～1000℃</w:t>
            </w: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13</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鼓风烘箱</w:t>
            </w:r>
          </w:p>
        </w:tc>
        <w:tc>
          <w:tcPr>
            <w:tcW w:w="2561"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105±5℃</w:t>
            </w: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14</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氯离子含量测定仪</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游离氧化钙测定仪</w:t>
            </w:r>
          </w:p>
        </w:tc>
        <w:tc>
          <w:tcPr>
            <w:tcW w:w="2561"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酸式、碱式滴定管</w:t>
            </w: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个</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16</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外加剂外加剂密度计</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17</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外加剂PH值测定仪</w:t>
            </w:r>
          </w:p>
        </w:tc>
        <w:tc>
          <w:tcPr>
            <w:tcW w:w="2561"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PH酸度计</w:t>
            </w: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18</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分析天平</w:t>
            </w:r>
          </w:p>
        </w:tc>
        <w:tc>
          <w:tcPr>
            <w:tcW w:w="2561"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分度值为0.1mg</w:t>
            </w: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19</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砂石振筛机</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针片状含量测定规准仪</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个</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21</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砂子骨料级配测定套筛</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套</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22</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碎石骨料级配测定套筛</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套</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23</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容量筒</w:t>
            </w:r>
          </w:p>
        </w:tc>
        <w:tc>
          <w:tcPr>
            <w:tcW w:w="2561"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1L</w:t>
            </w: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个</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24</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容量筒</w:t>
            </w:r>
          </w:p>
        </w:tc>
        <w:tc>
          <w:tcPr>
            <w:tcW w:w="2561"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10L、20L</w:t>
            </w: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个</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25</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天平</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26</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台秤</w:t>
            </w:r>
          </w:p>
        </w:tc>
        <w:tc>
          <w:tcPr>
            <w:tcW w:w="2561"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称量50kg或100kg,感量50g。</w:t>
            </w:r>
          </w:p>
        </w:tc>
        <w:tc>
          <w:tcPr>
            <w:tcW w:w="782" w:type="dxa"/>
            <w:noWrap w:val="0"/>
            <w:vAlign w:val="center"/>
          </w:tcPr>
          <w:p>
            <w:pPr>
              <w:jc w:val="center"/>
              <w:rPr>
                <w:rFonts w:hint="default" w:ascii="Times New Roman" w:hAnsi="Times New Roman" w:eastAsia="仿宋_GB2312" w:cs="Times New Roman"/>
                <w:szCs w:val="21"/>
              </w:rPr>
            </w:pP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27</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量筒</w:t>
            </w:r>
          </w:p>
        </w:tc>
        <w:tc>
          <w:tcPr>
            <w:tcW w:w="2561"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20ml、100ml、1000ml</w:t>
            </w:r>
          </w:p>
        </w:tc>
        <w:tc>
          <w:tcPr>
            <w:tcW w:w="782" w:type="dxa"/>
            <w:noWrap w:val="0"/>
            <w:vAlign w:val="center"/>
          </w:tcPr>
          <w:p>
            <w:pPr>
              <w:jc w:val="center"/>
              <w:rPr>
                <w:rFonts w:hint="default" w:ascii="Times New Roman" w:hAnsi="Times New Roman" w:eastAsia="仿宋_GB2312" w:cs="Times New Roman"/>
                <w:szCs w:val="21"/>
              </w:rPr>
            </w:pP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28</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亚甲蓝测定仪</w:t>
            </w:r>
          </w:p>
        </w:tc>
        <w:tc>
          <w:tcPr>
            <w:tcW w:w="2561"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三片或四片叶轮搅拌机</w:t>
            </w:r>
          </w:p>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（600±60）rpm</w:t>
            </w: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29</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混凝土拌合物容量筒</w:t>
            </w:r>
          </w:p>
        </w:tc>
        <w:tc>
          <w:tcPr>
            <w:tcW w:w="2561"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5L</w:t>
            </w: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个</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30</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压力试验机</w:t>
            </w:r>
          </w:p>
        </w:tc>
        <w:tc>
          <w:tcPr>
            <w:tcW w:w="2561"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300KN</w:t>
            </w: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31</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混凝土压力试验机</w:t>
            </w:r>
          </w:p>
        </w:tc>
        <w:tc>
          <w:tcPr>
            <w:tcW w:w="2561"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2000KN</w:t>
            </w: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32</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混凝土搅拌机</w:t>
            </w:r>
          </w:p>
        </w:tc>
        <w:tc>
          <w:tcPr>
            <w:tcW w:w="2561"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≥60L</w:t>
            </w: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33</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混凝土振动台</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34</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坍落度测定仪</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套</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35</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维勃稠度仪</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36</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混凝土压力泌水仪</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37</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混凝土含气量测定仪</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38</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混凝土贯入阻力仪</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39</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混凝土抗渗仪</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40</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冻融循环试验箱</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41</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电通量测定仪</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7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42</w:t>
            </w:r>
          </w:p>
        </w:tc>
        <w:tc>
          <w:tcPr>
            <w:tcW w:w="2760"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碱集料反应仪器设备</w:t>
            </w:r>
          </w:p>
        </w:tc>
        <w:tc>
          <w:tcPr>
            <w:tcW w:w="2561" w:type="dxa"/>
            <w:noWrap w:val="0"/>
            <w:vAlign w:val="center"/>
          </w:tcPr>
          <w:p>
            <w:pPr>
              <w:jc w:val="center"/>
              <w:rPr>
                <w:rFonts w:hint="default" w:ascii="Times New Roman" w:hAnsi="Times New Roman" w:eastAsia="仿宋_GB2312" w:cs="Times New Roman"/>
                <w:szCs w:val="21"/>
              </w:rPr>
            </w:pPr>
          </w:p>
        </w:tc>
        <w:tc>
          <w:tcPr>
            <w:tcW w:w="782" w:type="dxa"/>
            <w:noWrap w:val="0"/>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台</w:t>
            </w:r>
          </w:p>
        </w:tc>
        <w:tc>
          <w:tcPr>
            <w:tcW w:w="1885" w:type="dxa"/>
            <w:noWrap w:val="0"/>
            <w:vAlign w:val="center"/>
          </w:tcPr>
          <w:p>
            <w:pPr>
              <w:jc w:val="center"/>
              <w:rPr>
                <w:rFonts w:hint="default" w:ascii="Times New Roman" w:hAnsi="Times New Roman" w:eastAsia="仿宋_GB2312" w:cs="Times New Roman"/>
                <w:szCs w:val="21"/>
              </w:rPr>
            </w:pPr>
          </w:p>
        </w:tc>
      </w:tr>
    </w:tbl>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p>
    <w:p>
      <w:pPr>
        <w:keepNext w:val="0"/>
        <w:keepLines w:val="0"/>
        <w:pageBreakBefore w:val="0"/>
        <w:widowControl/>
        <w:kinsoku/>
        <w:wordWrap/>
        <w:overflowPunct/>
        <w:topLinePunct w:val="0"/>
        <w:autoSpaceDE w:val="0"/>
        <w:autoSpaceDN w:val="0"/>
        <w:bidi w:val="0"/>
        <w:adjustRightInd/>
        <w:snapToGrid/>
        <w:spacing w:before="0" w:after="0" w:line="600" w:lineRule="exact"/>
        <w:jc w:val="left"/>
        <w:textAlignment w:val="auto"/>
        <w:rPr>
          <w:rFonts w:hint="default" w:ascii="Times New Roman" w:hAnsi="Times New Roman" w:eastAsia="黑体" w:cs="Times New Roman"/>
          <w:b w:val="0"/>
          <w:bCs/>
          <w:color w:val="000000"/>
          <w:kern w:val="0"/>
          <w:sz w:val="32"/>
          <w:szCs w:val="32"/>
          <w:lang w:val="en-US" w:eastAsia="zh-CN"/>
        </w:rPr>
      </w:pPr>
      <w:r>
        <w:rPr>
          <w:rFonts w:hint="default" w:ascii="Times New Roman" w:hAnsi="Times New Roman" w:eastAsia="黑体" w:cs="Times New Roman"/>
          <w:b w:val="0"/>
          <w:bCs/>
          <w:color w:val="000000"/>
          <w:kern w:val="0"/>
          <w:sz w:val="32"/>
          <w:szCs w:val="32"/>
          <w:lang w:val="en-US" w:eastAsia="zh-CN"/>
        </w:rPr>
        <w:t>附表1</w:t>
      </w:r>
      <w:r>
        <w:rPr>
          <w:rFonts w:hint="eastAsia" w:ascii="宋体" w:hAnsi="宋体" w:eastAsia="宋体" w:cs="宋体"/>
          <w:kern w:val="2"/>
          <w:sz w:val="32"/>
          <w:szCs w:val="32"/>
          <w:lang w:val="en-US" w:eastAsia="zh-CN" w:bidi="ar-SA"/>
        </w:rPr>
        <w:t>－</w:t>
      </w:r>
      <w:r>
        <w:rPr>
          <w:rFonts w:hint="eastAsia" w:ascii="Times New Roman" w:hAnsi="Times New Roman" w:eastAsia="黑体" w:cs="Times New Roman"/>
          <w:b w:val="0"/>
          <w:bCs/>
          <w:color w:val="000000"/>
          <w:kern w:val="0"/>
          <w:sz w:val="32"/>
          <w:szCs w:val="32"/>
          <w:lang w:val="en-US" w:eastAsia="zh-CN"/>
        </w:rPr>
        <w:t>3</w:t>
      </w: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r>
        <w:rPr>
          <w:rFonts w:hint="eastAsia" w:ascii="方正小标宋简体" w:hAnsi="方正小标宋简体" w:eastAsia="方正小标宋简体" w:cs="方正小标宋简体"/>
          <w:b w:val="0"/>
          <w:bCs w:val="0"/>
          <w:color w:val="000000"/>
          <w:kern w:val="44"/>
          <w:sz w:val="32"/>
          <w:szCs w:val="32"/>
        </w:rPr>
        <w:t>企业绿色生产评价表</w:t>
      </w: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r>
        <w:rPr>
          <w:rFonts w:hint="eastAsia" w:ascii="方正小标宋简体" w:hAnsi="方正小标宋简体" w:eastAsia="方正小标宋简体" w:cs="方正小标宋简体"/>
          <w:b w:val="0"/>
          <w:bCs w:val="0"/>
          <w:color w:val="000000"/>
          <w:kern w:val="44"/>
          <w:sz w:val="32"/>
          <w:szCs w:val="32"/>
        </w:rPr>
        <w:t>绿色生产评价通用要求评价表A</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50"/>
        <w:gridCol w:w="567"/>
        <w:gridCol w:w="1366"/>
        <w:gridCol w:w="700"/>
        <w:gridCol w:w="936"/>
        <w:gridCol w:w="3151"/>
        <w:gridCol w:w="80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D8D8D8"/>
            <w:noWrap w:val="0"/>
            <w:vAlign w:val="center"/>
          </w:tcPr>
          <w:p>
            <w:pPr>
              <w:spacing w:before="93" w:beforeLines="30" w:after="93" w:afterLines="30"/>
              <w:jc w:val="center"/>
              <w:rPr>
                <w:rFonts w:ascii="Times New Roman" w:hAnsi="Times New Roman"/>
                <w:b/>
                <w:bCs/>
                <w:szCs w:val="21"/>
              </w:rPr>
            </w:pPr>
            <w:r>
              <w:rPr>
                <w:rFonts w:hint="eastAsia" w:ascii="Times New Roman" w:hAnsi="Times New Roman"/>
                <w:b/>
                <w:bCs/>
                <w:szCs w:val="21"/>
              </w:rPr>
              <w:t>评价指标</w:t>
            </w:r>
          </w:p>
        </w:tc>
        <w:tc>
          <w:tcPr>
            <w:tcW w:w="750" w:type="dxa"/>
            <w:shd w:val="clear" w:color="auto" w:fill="D8D8D8"/>
            <w:noWrap w:val="0"/>
            <w:vAlign w:val="center"/>
          </w:tcPr>
          <w:p>
            <w:pPr>
              <w:spacing w:before="93" w:beforeLines="30" w:after="93" w:afterLines="30"/>
              <w:jc w:val="center"/>
              <w:rPr>
                <w:rFonts w:ascii="Times New Roman" w:hAnsi="Times New Roman"/>
                <w:b/>
                <w:bCs/>
                <w:szCs w:val="21"/>
              </w:rPr>
            </w:pPr>
            <w:r>
              <w:rPr>
                <w:rFonts w:hint="eastAsia" w:ascii="Times New Roman" w:hAnsi="Times New Roman"/>
                <w:b/>
                <w:bCs/>
                <w:szCs w:val="21"/>
              </w:rPr>
              <w:t>指标类型</w:t>
            </w:r>
          </w:p>
        </w:tc>
        <w:tc>
          <w:tcPr>
            <w:tcW w:w="567" w:type="dxa"/>
            <w:shd w:val="clear" w:color="auto" w:fill="D8D8D8"/>
            <w:noWrap w:val="0"/>
            <w:vAlign w:val="center"/>
          </w:tcPr>
          <w:p>
            <w:pPr>
              <w:spacing w:before="93" w:beforeLines="30" w:after="93" w:afterLines="30"/>
              <w:jc w:val="center"/>
              <w:rPr>
                <w:rFonts w:ascii="Times New Roman" w:hAnsi="Times New Roman"/>
                <w:b/>
                <w:bCs/>
                <w:szCs w:val="21"/>
              </w:rPr>
            </w:pPr>
            <w:r>
              <w:rPr>
                <w:rFonts w:hint="eastAsia" w:ascii="Times New Roman" w:hAnsi="Times New Roman"/>
                <w:b/>
                <w:bCs/>
                <w:szCs w:val="21"/>
              </w:rPr>
              <w:t>分值</w:t>
            </w:r>
          </w:p>
        </w:tc>
        <w:tc>
          <w:tcPr>
            <w:tcW w:w="1366" w:type="dxa"/>
            <w:shd w:val="clear" w:color="auto" w:fill="D8D8D8"/>
            <w:noWrap w:val="0"/>
            <w:vAlign w:val="center"/>
          </w:tcPr>
          <w:p>
            <w:pPr>
              <w:spacing w:before="93" w:beforeLines="30" w:after="93" w:afterLines="30"/>
              <w:jc w:val="center"/>
              <w:rPr>
                <w:rFonts w:ascii="Times New Roman" w:hAnsi="Times New Roman"/>
                <w:b/>
                <w:bCs/>
                <w:szCs w:val="21"/>
              </w:rPr>
            </w:pPr>
            <w:r>
              <w:rPr>
                <w:rFonts w:hint="eastAsia" w:ascii="Times New Roman" w:hAnsi="Times New Roman"/>
                <w:b/>
                <w:bCs/>
                <w:szCs w:val="21"/>
              </w:rPr>
              <w:t>分项评价内容</w:t>
            </w:r>
          </w:p>
        </w:tc>
        <w:tc>
          <w:tcPr>
            <w:tcW w:w="700" w:type="dxa"/>
            <w:shd w:val="clear" w:color="auto" w:fill="D8D8D8"/>
            <w:noWrap w:val="0"/>
            <w:vAlign w:val="center"/>
          </w:tcPr>
          <w:p>
            <w:pPr>
              <w:spacing w:before="93" w:beforeLines="30" w:after="93" w:afterLines="30"/>
              <w:jc w:val="center"/>
              <w:rPr>
                <w:rFonts w:ascii="Times New Roman" w:hAnsi="Times New Roman"/>
                <w:b/>
                <w:bCs/>
                <w:szCs w:val="21"/>
              </w:rPr>
            </w:pPr>
            <w:r>
              <w:rPr>
                <w:rFonts w:hint="eastAsia" w:ascii="Times New Roman" w:hAnsi="Times New Roman"/>
                <w:b/>
                <w:bCs/>
                <w:szCs w:val="21"/>
              </w:rPr>
              <w:t>分项分值</w:t>
            </w:r>
          </w:p>
        </w:tc>
        <w:tc>
          <w:tcPr>
            <w:tcW w:w="4087" w:type="dxa"/>
            <w:gridSpan w:val="2"/>
            <w:shd w:val="clear" w:color="auto" w:fill="D8D8D8"/>
            <w:noWrap w:val="0"/>
            <w:vAlign w:val="center"/>
          </w:tcPr>
          <w:p>
            <w:pPr>
              <w:spacing w:before="93" w:beforeLines="30" w:after="93" w:afterLines="30"/>
              <w:jc w:val="center"/>
              <w:rPr>
                <w:rFonts w:ascii="Times New Roman" w:hAnsi="Times New Roman"/>
                <w:b/>
                <w:bCs/>
                <w:szCs w:val="21"/>
              </w:rPr>
            </w:pPr>
            <w:r>
              <w:rPr>
                <w:rFonts w:hint="eastAsia" w:ascii="Times New Roman" w:hAnsi="Times New Roman"/>
                <w:b/>
                <w:bCs/>
                <w:szCs w:val="21"/>
              </w:rPr>
              <w:t>评价要素</w:t>
            </w:r>
          </w:p>
        </w:tc>
        <w:tc>
          <w:tcPr>
            <w:tcW w:w="810" w:type="dxa"/>
            <w:gridSpan w:val="2"/>
            <w:shd w:val="clear" w:color="auto" w:fill="D8D8D8"/>
            <w:noWrap w:val="0"/>
            <w:vAlign w:val="center"/>
          </w:tcPr>
          <w:p>
            <w:pPr>
              <w:spacing w:before="93" w:beforeLines="30" w:after="93" w:afterLines="30"/>
              <w:jc w:val="center"/>
              <w:rPr>
                <w:rFonts w:ascii="Times New Roman" w:hAnsi="Times New Roman"/>
                <w:b/>
                <w:bCs/>
                <w:szCs w:val="21"/>
              </w:rPr>
            </w:pPr>
            <w:r>
              <w:rPr>
                <w:rFonts w:hint="eastAsia" w:ascii="Times New Roman" w:hAnsi="Times New Roman"/>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62" w:type="dxa"/>
            <w:vMerge w:val="restart"/>
            <w:shd w:val="clear" w:color="auto" w:fill="D8D8D8"/>
            <w:noWrap w:val="0"/>
            <w:vAlign w:val="center"/>
          </w:tcPr>
          <w:p>
            <w:pPr>
              <w:spacing w:before="93" w:beforeLines="30" w:after="93" w:afterLines="30"/>
              <w:jc w:val="center"/>
              <w:rPr>
                <w:rFonts w:ascii="Times New Roman" w:hAnsi="Times New Roman"/>
                <w:b/>
                <w:bCs/>
                <w:szCs w:val="21"/>
              </w:rPr>
            </w:pPr>
          </w:p>
          <w:p>
            <w:pPr>
              <w:spacing w:before="93" w:beforeLines="30" w:after="93" w:afterLines="30"/>
              <w:jc w:val="center"/>
              <w:rPr>
                <w:rFonts w:ascii="Times New Roman" w:hAnsi="Times New Roman"/>
                <w:b/>
                <w:bCs/>
                <w:szCs w:val="21"/>
              </w:rPr>
            </w:pPr>
          </w:p>
          <w:p>
            <w:pPr>
              <w:spacing w:before="93" w:beforeLines="30" w:after="93" w:afterLines="30"/>
              <w:jc w:val="center"/>
              <w:rPr>
                <w:rFonts w:ascii="Times New Roman" w:hAnsi="Times New Roman"/>
                <w:b/>
                <w:bCs/>
                <w:szCs w:val="21"/>
              </w:rPr>
            </w:pPr>
          </w:p>
          <w:p>
            <w:pPr>
              <w:spacing w:before="93" w:beforeLines="30" w:after="93" w:afterLines="30"/>
              <w:jc w:val="center"/>
              <w:rPr>
                <w:rFonts w:ascii="Times New Roman" w:hAnsi="Times New Roman"/>
                <w:b/>
                <w:bCs/>
                <w:szCs w:val="21"/>
              </w:rPr>
            </w:pPr>
          </w:p>
          <w:p>
            <w:pPr>
              <w:spacing w:before="93" w:beforeLines="30" w:after="93" w:afterLines="30"/>
              <w:jc w:val="center"/>
              <w:rPr>
                <w:rFonts w:ascii="Times New Roman" w:hAnsi="Times New Roman"/>
                <w:b/>
                <w:bCs/>
                <w:szCs w:val="21"/>
              </w:rPr>
            </w:pPr>
          </w:p>
          <w:p>
            <w:pPr>
              <w:spacing w:before="93" w:beforeLines="30" w:after="93" w:afterLines="30"/>
              <w:jc w:val="center"/>
              <w:rPr>
                <w:rFonts w:ascii="Times New Roman" w:hAnsi="Times New Roman"/>
                <w:b/>
                <w:bCs/>
                <w:szCs w:val="21"/>
              </w:rPr>
            </w:pPr>
          </w:p>
          <w:p>
            <w:pPr>
              <w:spacing w:before="93" w:beforeLines="30" w:after="93" w:afterLines="30"/>
              <w:jc w:val="center"/>
              <w:rPr>
                <w:rFonts w:ascii="Times New Roman" w:hAnsi="Times New Roman"/>
                <w:b/>
                <w:bCs/>
                <w:szCs w:val="21"/>
              </w:rPr>
            </w:pPr>
            <w:r>
              <w:rPr>
                <w:rFonts w:hint="eastAsia" w:ascii="Times New Roman" w:hAnsi="Times New Roman"/>
                <w:b/>
                <w:bCs/>
                <w:szCs w:val="21"/>
              </w:rPr>
              <w:t>厂</w:t>
            </w:r>
          </w:p>
          <w:p>
            <w:pPr>
              <w:spacing w:before="93" w:beforeLines="30" w:after="93" w:afterLines="30"/>
              <w:jc w:val="center"/>
              <w:rPr>
                <w:rFonts w:ascii="Times New Roman" w:hAnsi="Times New Roman"/>
                <w:b/>
                <w:bCs/>
                <w:szCs w:val="21"/>
              </w:rPr>
            </w:pPr>
            <w:r>
              <w:rPr>
                <w:rFonts w:hint="eastAsia" w:ascii="Times New Roman" w:hAnsi="Times New Roman"/>
                <w:b/>
                <w:bCs/>
                <w:szCs w:val="21"/>
              </w:rPr>
              <w:t>区</w:t>
            </w:r>
          </w:p>
          <w:p>
            <w:pPr>
              <w:spacing w:before="93" w:beforeLines="30" w:after="93" w:afterLines="30"/>
              <w:jc w:val="center"/>
              <w:rPr>
                <w:rFonts w:ascii="Times New Roman" w:hAnsi="Times New Roman"/>
                <w:b/>
                <w:bCs/>
                <w:szCs w:val="21"/>
              </w:rPr>
            </w:pPr>
            <w:r>
              <w:rPr>
                <w:rFonts w:hint="eastAsia" w:ascii="Times New Roman" w:hAnsi="Times New Roman"/>
                <w:b/>
                <w:bCs/>
                <w:szCs w:val="21"/>
              </w:rPr>
              <w:t>要</w:t>
            </w:r>
          </w:p>
          <w:p>
            <w:pPr>
              <w:spacing w:before="93" w:beforeLines="30" w:after="93" w:afterLines="30"/>
              <w:jc w:val="center"/>
              <w:rPr>
                <w:rFonts w:ascii="Times New Roman" w:hAnsi="Times New Roman"/>
                <w:szCs w:val="21"/>
              </w:rPr>
            </w:pPr>
            <w:r>
              <w:rPr>
                <w:rFonts w:hint="eastAsia" w:ascii="Times New Roman" w:hAnsi="Times New Roman"/>
                <w:b/>
                <w:bCs/>
                <w:szCs w:val="21"/>
              </w:rPr>
              <w:t>求</w:t>
            </w:r>
          </w:p>
        </w:tc>
        <w:tc>
          <w:tcPr>
            <w:tcW w:w="750" w:type="dxa"/>
            <w:vMerge w:val="restart"/>
            <w:shd w:val="clear" w:color="auto" w:fill="D8D8D8"/>
            <w:noWrap w:val="0"/>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控</w:t>
            </w:r>
          </w:p>
          <w:p>
            <w:pPr>
              <w:spacing w:before="93" w:beforeLines="30" w:after="93" w:afterLines="30"/>
              <w:jc w:val="center"/>
              <w:rPr>
                <w:rFonts w:ascii="Times New Roman" w:hAnsi="Times New Roman"/>
                <w:szCs w:val="21"/>
              </w:rPr>
            </w:pPr>
            <w:r>
              <w:rPr>
                <w:rFonts w:hint="eastAsia" w:ascii="Times New Roman" w:hAnsi="Times New Roman"/>
                <w:szCs w:val="21"/>
              </w:rPr>
              <w:t>制</w:t>
            </w:r>
          </w:p>
          <w:p>
            <w:pPr>
              <w:spacing w:before="93" w:beforeLines="30" w:after="93" w:afterLines="30"/>
              <w:jc w:val="center"/>
              <w:rPr>
                <w:rFonts w:ascii="Times New Roman" w:hAnsi="Times New Roman"/>
                <w:szCs w:val="21"/>
              </w:rPr>
            </w:pPr>
            <w:r>
              <w:rPr>
                <w:rFonts w:hint="eastAsia" w:ascii="Times New Roman" w:hAnsi="Times New Roman"/>
                <w:szCs w:val="21"/>
              </w:rPr>
              <w:t>项</w:t>
            </w:r>
          </w:p>
        </w:tc>
        <w:tc>
          <w:tcPr>
            <w:tcW w:w="567"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4</w:t>
            </w:r>
          </w:p>
        </w:tc>
        <w:tc>
          <w:tcPr>
            <w:tcW w:w="1366" w:type="dxa"/>
            <w:vMerge w:val="restart"/>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道路硬化及质量</w:t>
            </w:r>
          </w:p>
        </w:tc>
        <w:tc>
          <w:tcPr>
            <w:tcW w:w="700"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4</w:t>
            </w:r>
          </w:p>
        </w:tc>
        <w:tc>
          <w:tcPr>
            <w:tcW w:w="4087" w:type="dxa"/>
            <w:gridSpan w:val="2"/>
            <w:noWrap w:val="0"/>
            <w:vAlign w:val="center"/>
          </w:tcPr>
          <w:p>
            <w:pPr>
              <w:numPr>
                <w:ilvl w:val="0"/>
                <w:numId w:val="1"/>
              </w:numPr>
              <w:spacing w:before="93" w:beforeLines="30" w:after="93" w:afterLines="30"/>
              <w:rPr>
                <w:rFonts w:ascii="Times New Roman" w:hAnsi="Times New Roman"/>
                <w:szCs w:val="21"/>
              </w:rPr>
            </w:pPr>
            <w:r>
              <w:rPr>
                <w:rFonts w:hint="eastAsia" w:ascii="Times New Roman" w:hAnsi="Times New Roman"/>
                <w:szCs w:val="21"/>
              </w:rPr>
              <w:t>道路硬化率达</w:t>
            </w:r>
            <w:r>
              <w:rPr>
                <w:rFonts w:ascii="Times New Roman" w:hAnsi="Times New Roman"/>
                <w:szCs w:val="21"/>
              </w:rPr>
              <w:t>100%</w:t>
            </w:r>
            <w:r>
              <w:rPr>
                <w:rFonts w:hint="eastAsia" w:ascii="Times New Roman" w:hAnsi="Times New Roman"/>
                <w:szCs w:val="21"/>
              </w:rPr>
              <w:t>，得</w:t>
            </w:r>
            <w:r>
              <w:rPr>
                <w:rFonts w:ascii="Times New Roman" w:hAnsi="Times New Roman"/>
                <w:b/>
                <w:bCs/>
                <w:szCs w:val="21"/>
              </w:rPr>
              <w:t>2</w:t>
            </w:r>
            <w:r>
              <w:rPr>
                <w:rFonts w:hint="eastAsia" w:ascii="Times New Roman" w:hAnsi="Times New Roman"/>
                <w:szCs w:val="21"/>
              </w:rPr>
              <w:t>分；</w:t>
            </w:r>
          </w:p>
        </w:tc>
        <w:tc>
          <w:tcPr>
            <w:tcW w:w="810" w:type="dxa"/>
            <w:gridSpan w:val="2"/>
            <w:vMerge w:val="restart"/>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b/>
                <w:bCs/>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rPr>
                <w:rFonts w:ascii="Times New Roman" w:hAnsi="Times New Roman"/>
                <w:szCs w:val="21"/>
              </w:rPr>
            </w:pPr>
            <w:r>
              <w:rPr>
                <w:rFonts w:ascii="Times New Roman" w:hAnsi="Times New Roman"/>
                <w:szCs w:val="21"/>
              </w:rPr>
              <w:t>2.</w:t>
            </w:r>
            <w:r>
              <w:rPr>
                <w:rFonts w:hint="eastAsia" w:ascii="Times New Roman" w:hAnsi="Times New Roman"/>
                <w:szCs w:val="21"/>
              </w:rPr>
              <w:t>硬化道路质量良好，无明显破损，得</w:t>
            </w:r>
            <w:r>
              <w:rPr>
                <w:rFonts w:ascii="Times New Roman" w:hAnsi="Times New Roman"/>
                <w:b/>
                <w:bCs/>
                <w:szCs w:val="21"/>
              </w:rPr>
              <w:t>2</w:t>
            </w:r>
            <w:r>
              <w:rPr>
                <w:rFonts w:hint="eastAsia" w:ascii="Times New Roman" w:hAnsi="Times New Roman"/>
                <w:szCs w:val="21"/>
              </w:rPr>
              <w:t>分。</w:t>
            </w:r>
          </w:p>
        </w:tc>
        <w:tc>
          <w:tcPr>
            <w:tcW w:w="810" w:type="dxa"/>
            <w:gridSpan w:val="2"/>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restart"/>
            <w:shd w:val="clear" w:color="auto" w:fill="D8D8D8"/>
            <w:noWrap w:val="0"/>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一</w:t>
            </w:r>
          </w:p>
          <w:p>
            <w:pPr>
              <w:spacing w:before="93" w:beforeLines="30" w:after="93" w:afterLines="30"/>
              <w:jc w:val="center"/>
              <w:rPr>
                <w:rFonts w:ascii="Times New Roman" w:hAnsi="Times New Roman"/>
                <w:szCs w:val="21"/>
              </w:rPr>
            </w:pPr>
            <w:r>
              <w:rPr>
                <w:rFonts w:hint="eastAsia" w:ascii="Times New Roman" w:hAnsi="Times New Roman"/>
                <w:szCs w:val="21"/>
              </w:rPr>
              <w:t>般</w:t>
            </w:r>
          </w:p>
          <w:p>
            <w:pPr>
              <w:spacing w:before="93" w:beforeLines="30" w:after="93" w:afterLines="30"/>
              <w:jc w:val="center"/>
              <w:rPr>
                <w:rFonts w:ascii="Times New Roman" w:hAnsi="Times New Roman"/>
                <w:szCs w:val="21"/>
              </w:rPr>
            </w:pPr>
            <w:r>
              <w:rPr>
                <w:rFonts w:hint="eastAsia" w:ascii="Times New Roman" w:hAnsi="Times New Roman"/>
                <w:szCs w:val="21"/>
              </w:rPr>
              <w:t>项</w:t>
            </w:r>
          </w:p>
        </w:tc>
        <w:tc>
          <w:tcPr>
            <w:tcW w:w="567" w:type="dxa"/>
            <w:vMerge w:val="restart"/>
            <w:noWrap w:val="0"/>
            <w:vAlign w:val="center"/>
          </w:tcPr>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r>
              <w:rPr>
                <w:rFonts w:ascii="Times New Roman" w:hAnsi="Times New Roman"/>
                <w:szCs w:val="21"/>
              </w:rPr>
              <w:t>6</w:t>
            </w:r>
          </w:p>
        </w:tc>
        <w:tc>
          <w:tcPr>
            <w:tcW w:w="1366" w:type="dxa"/>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功能分区</w:t>
            </w:r>
          </w:p>
        </w:tc>
        <w:tc>
          <w:tcPr>
            <w:tcW w:w="700" w:type="dxa"/>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1</w:t>
            </w:r>
          </w:p>
        </w:tc>
        <w:tc>
          <w:tcPr>
            <w:tcW w:w="4087" w:type="dxa"/>
            <w:gridSpan w:val="2"/>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厂区内的生产区、办公区和生活区采用分区布置，得</w:t>
            </w:r>
            <w:r>
              <w:rPr>
                <w:rFonts w:ascii="Times New Roman" w:hAnsi="Times New Roman"/>
                <w:b/>
                <w:bCs/>
                <w:szCs w:val="21"/>
              </w:rPr>
              <w:t>1</w:t>
            </w:r>
            <w:r>
              <w:rPr>
                <w:rFonts w:hint="eastAsia" w:ascii="Times New Roman" w:hAnsi="Times New Roman"/>
                <w:szCs w:val="21"/>
              </w:rPr>
              <w:t>分。</w:t>
            </w:r>
          </w:p>
        </w:tc>
        <w:tc>
          <w:tcPr>
            <w:tcW w:w="810" w:type="dxa"/>
            <w:gridSpan w:val="2"/>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未硬化空地的绿化</w:t>
            </w:r>
          </w:p>
        </w:tc>
        <w:tc>
          <w:tcPr>
            <w:tcW w:w="700" w:type="dxa"/>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1</w:t>
            </w:r>
          </w:p>
        </w:tc>
        <w:tc>
          <w:tcPr>
            <w:tcW w:w="4087" w:type="dxa"/>
            <w:gridSpan w:val="2"/>
            <w:noWrap w:val="0"/>
            <w:vAlign w:val="center"/>
          </w:tcPr>
          <w:p>
            <w:pPr>
              <w:spacing w:before="93" w:beforeLines="30" w:after="93" w:afterLines="30"/>
              <w:rPr>
                <w:rFonts w:ascii="Times New Roman" w:hAnsi="Times New Roman"/>
                <w:szCs w:val="21"/>
              </w:rPr>
            </w:pPr>
            <w:r>
              <w:rPr>
                <w:rFonts w:hint="eastAsia" w:ascii="Times New Roman" w:hAnsi="Times New Roman"/>
                <w:szCs w:val="21"/>
              </w:rPr>
              <w:t>厂区未硬化空地的绿化率达到</w:t>
            </w:r>
            <w:r>
              <w:rPr>
                <w:rFonts w:ascii="Times New Roman" w:hAnsi="Times New Roman"/>
                <w:szCs w:val="21"/>
              </w:rPr>
              <w:t>80%</w:t>
            </w:r>
            <w:r>
              <w:rPr>
                <w:rFonts w:hint="eastAsia" w:ascii="Times New Roman" w:hAnsi="Times New Roman"/>
                <w:szCs w:val="21"/>
              </w:rPr>
              <w:t>以上，得</w:t>
            </w:r>
            <w:r>
              <w:rPr>
                <w:rFonts w:ascii="Times New Roman" w:hAnsi="Times New Roman"/>
                <w:b/>
                <w:bCs/>
                <w:szCs w:val="21"/>
              </w:rPr>
              <w:t>1</w:t>
            </w:r>
            <w:r>
              <w:rPr>
                <w:rFonts w:hint="eastAsia" w:ascii="Times New Roman" w:hAnsi="Times New Roman"/>
                <w:szCs w:val="21"/>
              </w:rPr>
              <w:t>分。</w:t>
            </w:r>
          </w:p>
        </w:tc>
        <w:tc>
          <w:tcPr>
            <w:tcW w:w="810" w:type="dxa"/>
            <w:gridSpan w:val="2"/>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绿化面积</w:t>
            </w:r>
          </w:p>
        </w:tc>
        <w:tc>
          <w:tcPr>
            <w:tcW w:w="700" w:type="dxa"/>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1</w:t>
            </w:r>
          </w:p>
        </w:tc>
        <w:tc>
          <w:tcPr>
            <w:tcW w:w="4087" w:type="dxa"/>
            <w:gridSpan w:val="2"/>
            <w:noWrap w:val="0"/>
            <w:vAlign w:val="center"/>
          </w:tcPr>
          <w:p>
            <w:pPr>
              <w:spacing w:before="93" w:beforeLines="30" w:after="93" w:afterLines="30"/>
              <w:rPr>
                <w:rFonts w:ascii="Times New Roman" w:hAnsi="Times New Roman"/>
                <w:szCs w:val="21"/>
              </w:rPr>
            </w:pPr>
            <w:r>
              <w:rPr>
                <w:rFonts w:hint="eastAsia" w:ascii="Times New Roman" w:hAnsi="Times New Roman"/>
                <w:szCs w:val="21"/>
              </w:rPr>
              <w:t>厂区整体绿化面积达</w:t>
            </w:r>
            <w:r>
              <w:rPr>
                <w:rFonts w:ascii="Times New Roman" w:hAnsi="Times New Roman"/>
                <w:szCs w:val="21"/>
              </w:rPr>
              <w:t>10%</w:t>
            </w:r>
            <w:r>
              <w:rPr>
                <w:rFonts w:hint="eastAsia" w:ascii="Times New Roman" w:hAnsi="Times New Roman"/>
                <w:szCs w:val="21"/>
              </w:rPr>
              <w:t>以上，得</w:t>
            </w:r>
            <w:r>
              <w:rPr>
                <w:rFonts w:ascii="Times New Roman" w:hAnsi="Times New Roman"/>
                <w:b/>
                <w:bCs/>
                <w:szCs w:val="21"/>
              </w:rPr>
              <w:t>1</w:t>
            </w:r>
            <w:r>
              <w:rPr>
                <w:rFonts w:hint="eastAsia" w:ascii="Times New Roman" w:hAnsi="Times New Roman"/>
                <w:szCs w:val="21"/>
              </w:rPr>
              <w:t>分。</w:t>
            </w:r>
          </w:p>
        </w:tc>
        <w:tc>
          <w:tcPr>
            <w:tcW w:w="810" w:type="dxa"/>
            <w:gridSpan w:val="2"/>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生产废弃物存放处的设置</w:t>
            </w:r>
          </w:p>
        </w:tc>
        <w:tc>
          <w:tcPr>
            <w:tcW w:w="700"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1</w:t>
            </w:r>
          </w:p>
        </w:tc>
        <w:tc>
          <w:tcPr>
            <w:tcW w:w="4087" w:type="dxa"/>
            <w:gridSpan w:val="2"/>
            <w:noWrap w:val="0"/>
            <w:vAlign w:val="center"/>
          </w:tcPr>
          <w:p>
            <w:pPr>
              <w:numPr>
                <w:ilvl w:val="0"/>
                <w:numId w:val="2"/>
              </w:numPr>
              <w:spacing w:before="93" w:beforeLines="30" w:after="93" w:afterLines="30"/>
              <w:jc w:val="left"/>
              <w:rPr>
                <w:rFonts w:ascii="Times New Roman" w:hAnsi="Times New Roman"/>
                <w:szCs w:val="21"/>
              </w:rPr>
            </w:pPr>
            <w:r>
              <w:rPr>
                <w:rFonts w:hint="eastAsia" w:ascii="Times New Roman" w:hAnsi="Times New Roman"/>
                <w:szCs w:val="21"/>
              </w:rPr>
              <w:t>生产区内设置生产废弃物存放处，得</w:t>
            </w:r>
            <w:r>
              <w:rPr>
                <w:rFonts w:ascii="Times New Roman" w:hAnsi="Times New Roman"/>
                <w:b/>
                <w:bCs/>
                <w:szCs w:val="21"/>
              </w:rPr>
              <w:t>0.5</w:t>
            </w:r>
            <w:r>
              <w:rPr>
                <w:rFonts w:hint="eastAsia" w:ascii="Times New Roman" w:hAnsi="Times New Roman"/>
                <w:szCs w:val="21"/>
              </w:rPr>
              <w:t>分；</w:t>
            </w:r>
          </w:p>
        </w:tc>
        <w:tc>
          <w:tcPr>
            <w:tcW w:w="810" w:type="dxa"/>
            <w:gridSpan w:val="2"/>
            <w:vMerge w:val="restart"/>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w w:val="90"/>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2.</w:t>
            </w:r>
            <w:r>
              <w:rPr>
                <w:rFonts w:hint="eastAsia" w:ascii="Times New Roman" w:hAnsi="Times New Roman"/>
                <w:szCs w:val="21"/>
              </w:rPr>
              <w:t>生产废弃物分类存放、集中处理，得</w:t>
            </w:r>
            <w:r>
              <w:rPr>
                <w:rFonts w:ascii="Times New Roman" w:hAnsi="Times New Roman"/>
                <w:b/>
                <w:bCs/>
                <w:szCs w:val="21"/>
              </w:rPr>
              <w:t>0.5</w:t>
            </w:r>
            <w:r>
              <w:rPr>
                <w:rFonts w:hint="eastAsia" w:ascii="Times New Roman" w:hAnsi="Times New Roman"/>
                <w:szCs w:val="21"/>
              </w:rPr>
              <w:t>分。</w:t>
            </w:r>
          </w:p>
        </w:tc>
        <w:tc>
          <w:tcPr>
            <w:tcW w:w="810" w:type="dxa"/>
            <w:gridSpan w:val="2"/>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jc w:val="left"/>
              <w:rPr>
                <w:rFonts w:ascii="Times New Roman" w:hAnsi="Times New Roman"/>
                <w:w w:val="90"/>
                <w:szCs w:val="21"/>
              </w:rPr>
            </w:pPr>
            <w:r>
              <w:rPr>
                <w:rFonts w:hint="eastAsia" w:ascii="Times New Roman" w:hAnsi="Times New Roman"/>
                <w:szCs w:val="21"/>
              </w:rPr>
              <w:t>整体清洁卫生</w:t>
            </w:r>
          </w:p>
        </w:tc>
        <w:tc>
          <w:tcPr>
            <w:tcW w:w="700" w:type="dxa"/>
            <w:vMerge w:val="restart"/>
            <w:noWrap w:val="0"/>
            <w:vAlign w:val="center"/>
          </w:tcPr>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r>
              <w:rPr>
                <w:rFonts w:ascii="Times New Roman" w:hAnsi="Times New Roman"/>
                <w:szCs w:val="21"/>
              </w:rPr>
              <w:t>2</w:t>
            </w: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1.</w:t>
            </w:r>
            <w:r>
              <w:rPr>
                <w:rFonts w:hint="eastAsia" w:ascii="Times New Roman" w:hAnsi="Times New Roman"/>
                <w:szCs w:val="21"/>
              </w:rPr>
              <w:t>厂区门前道路、环境按门前三包要求进行管理，并符合要求，得</w:t>
            </w:r>
            <w:r>
              <w:rPr>
                <w:rFonts w:ascii="Times New Roman" w:hAnsi="Times New Roman"/>
                <w:b/>
                <w:bCs/>
                <w:szCs w:val="21"/>
              </w:rPr>
              <w:t>1</w:t>
            </w:r>
            <w:r>
              <w:rPr>
                <w:rFonts w:hint="eastAsia" w:ascii="Times New Roman" w:hAnsi="Times New Roman"/>
                <w:szCs w:val="21"/>
              </w:rPr>
              <w:t>分；</w:t>
            </w:r>
          </w:p>
        </w:tc>
        <w:tc>
          <w:tcPr>
            <w:tcW w:w="810" w:type="dxa"/>
            <w:gridSpan w:val="2"/>
            <w:vMerge w:val="restart"/>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2.</w:t>
            </w:r>
            <w:r>
              <w:rPr>
                <w:rFonts w:hint="eastAsia" w:ascii="Times New Roman" w:hAnsi="Times New Roman"/>
                <w:szCs w:val="21"/>
              </w:rPr>
              <w:t>厂区内保持卫生清洁，得</w:t>
            </w:r>
            <w:r>
              <w:rPr>
                <w:rFonts w:ascii="Times New Roman" w:hAnsi="Times New Roman"/>
                <w:b/>
                <w:bCs/>
                <w:szCs w:val="21"/>
              </w:rPr>
              <w:t>1</w:t>
            </w:r>
            <w:r>
              <w:rPr>
                <w:rFonts w:hint="eastAsia" w:ascii="Times New Roman" w:hAnsi="Times New Roman"/>
                <w:szCs w:val="21"/>
              </w:rPr>
              <w:t>分。</w:t>
            </w:r>
          </w:p>
        </w:tc>
        <w:tc>
          <w:tcPr>
            <w:tcW w:w="810" w:type="dxa"/>
            <w:gridSpan w:val="2"/>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62" w:type="dxa"/>
            <w:vMerge w:val="restart"/>
            <w:shd w:val="clear" w:color="auto" w:fill="D8D8D8"/>
            <w:noWrap w:val="0"/>
            <w:vAlign w:val="center"/>
          </w:tcPr>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ascii="Times New Roman" w:hAnsi="Times New Roman"/>
                <w:b/>
                <w:bCs/>
                <w:szCs w:val="21"/>
              </w:rPr>
            </w:pPr>
            <w:r>
              <w:rPr>
                <w:rFonts w:hint="eastAsia" w:ascii="Times New Roman" w:hAnsi="Times New Roman"/>
                <w:b/>
                <w:bCs/>
                <w:szCs w:val="21"/>
              </w:rPr>
              <w:t>设</w:t>
            </w:r>
          </w:p>
          <w:p>
            <w:pPr>
              <w:spacing w:before="93" w:beforeLines="30" w:after="93" w:afterLines="30"/>
              <w:jc w:val="center"/>
              <w:rPr>
                <w:rFonts w:ascii="Times New Roman" w:hAnsi="Times New Roman"/>
                <w:b/>
                <w:bCs/>
                <w:szCs w:val="21"/>
              </w:rPr>
            </w:pPr>
            <w:r>
              <w:rPr>
                <w:rFonts w:hint="eastAsia" w:ascii="Times New Roman" w:hAnsi="Times New Roman"/>
                <w:b/>
                <w:bCs/>
                <w:szCs w:val="21"/>
              </w:rPr>
              <w:t>施</w:t>
            </w:r>
          </w:p>
          <w:p>
            <w:pPr>
              <w:spacing w:before="93" w:beforeLines="30" w:after="93" w:afterLines="30"/>
              <w:jc w:val="center"/>
              <w:rPr>
                <w:rFonts w:ascii="Times New Roman" w:hAnsi="Times New Roman"/>
                <w:b/>
                <w:bCs/>
                <w:szCs w:val="21"/>
              </w:rPr>
            </w:pPr>
            <w:r>
              <w:rPr>
                <w:rFonts w:hint="eastAsia" w:ascii="Times New Roman" w:hAnsi="Times New Roman"/>
                <w:b/>
                <w:bCs/>
                <w:szCs w:val="21"/>
              </w:rPr>
              <w:t>设</w:t>
            </w:r>
          </w:p>
          <w:p>
            <w:pPr>
              <w:spacing w:before="93" w:beforeLines="30" w:after="93" w:afterLines="30"/>
              <w:jc w:val="center"/>
              <w:rPr>
                <w:rFonts w:hint="eastAsia" w:ascii="Times New Roman" w:hAnsi="Times New Roman"/>
                <w:b/>
                <w:bCs/>
                <w:szCs w:val="21"/>
              </w:rPr>
            </w:pPr>
            <w:r>
              <w:rPr>
                <w:rFonts w:hint="eastAsia" w:ascii="Times New Roman" w:hAnsi="Times New Roman"/>
                <w:b/>
                <w:bCs/>
                <w:szCs w:val="21"/>
              </w:rPr>
              <w:t>备</w:t>
            </w: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ascii="Times New Roman" w:hAnsi="Times New Roman"/>
                <w:b/>
                <w:bCs/>
                <w:szCs w:val="21"/>
              </w:rPr>
            </w:pPr>
            <w:r>
              <w:rPr>
                <w:rFonts w:hint="eastAsia" w:ascii="Times New Roman" w:hAnsi="Times New Roman"/>
                <w:b/>
                <w:bCs/>
                <w:szCs w:val="21"/>
              </w:rPr>
              <w:t>设</w:t>
            </w:r>
          </w:p>
          <w:p>
            <w:pPr>
              <w:spacing w:before="93" w:beforeLines="30" w:after="93" w:afterLines="30"/>
              <w:jc w:val="center"/>
              <w:rPr>
                <w:rFonts w:ascii="Times New Roman" w:hAnsi="Times New Roman"/>
                <w:b/>
                <w:bCs/>
                <w:szCs w:val="21"/>
              </w:rPr>
            </w:pPr>
            <w:r>
              <w:rPr>
                <w:rFonts w:hint="eastAsia" w:ascii="Times New Roman" w:hAnsi="Times New Roman"/>
                <w:b/>
                <w:bCs/>
                <w:szCs w:val="21"/>
              </w:rPr>
              <w:t>施</w:t>
            </w:r>
          </w:p>
          <w:p>
            <w:pPr>
              <w:spacing w:before="93" w:beforeLines="30" w:after="93" w:afterLines="30"/>
              <w:jc w:val="center"/>
              <w:rPr>
                <w:rFonts w:ascii="Times New Roman" w:hAnsi="Times New Roman"/>
                <w:b/>
                <w:bCs/>
                <w:szCs w:val="21"/>
              </w:rPr>
            </w:pPr>
            <w:r>
              <w:rPr>
                <w:rFonts w:hint="eastAsia" w:ascii="Times New Roman" w:hAnsi="Times New Roman"/>
                <w:b/>
                <w:bCs/>
                <w:szCs w:val="21"/>
              </w:rPr>
              <w:t>设</w:t>
            </w:r>
          </w:p>
          <w:p>
            <w:pPr>
              <w:spacing w:before="93" w:beforeLines="30" w:after="93" w:afterLines="30"/>
              <w:jc w:val="center"/>
              <w:rPr>
                <w:rFonts w:hint="eastAsia" w:ascii="Times New Roman" w:hAnsi="Times New Roman"/>
                <w:b/>
                <w:bCs/>
                <w:szCs w:val="21"/>
              </w:rPr>
            </w:pPr>
            <w:r>
              <w:rPr>
                <w:rFonts w:hint="eastAsia" w:ascii="Times New Roman" w:hAnsi="Times New Roman"/>
                <w:b/>
                <w:bCs/>
                <w:szCs w:val="21"/>
              </w:rPr>
              <w:t>备</w:t>
            </w: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ascii="Times New Roman" w:hAnsi="Times New Roman"/>
                <w:b/>
                <w:bCs/>
                <w:szCs w:val="21"/>
              </w:rPr>
            </w:pPr>
            <w:r>
              <w:rPr>
                <w:rFonts w:hint="eastAsia" w:ascii="Times New Roman" w:hAnsi="Times New Roman"/>
                <w:b/>
                <w:bCs/>
                <w:szCs w:val="21"/>
              </w:rPr>
              <w:t>设</w:t>
            </w:r>
          </w:p>
          <w:p>
            <w:pPr>
              <w:spacing w:before="93" w:beforeLines="30" w:after="93" w:afterLines="30"/>
              <w:jc w:val="center"/>
              <w:rPr>
                <w:rFonts w:ascii="Times New Roman" w:hAnsi="Times New Roman"/>
                <w:b/>
                <w:bCs/>
                <w:szCs w:val="21"/>
              </w:rPr>
            </w:pPr>
            <w:r>
              <w:rPr>
                <w:rFonts w:hint="eastAsia" w:ascii="Times New Roman" w:hAnsi="Times New Roman"/>
                <w:b/>
                <w:bCs/>
                <w:szCs w:val="21"/>
              </w:rPr>
              <w:t>施</w:t>
            </w:r>
          </w:p>
          <w:p>
            <w:pPr>
              <w:spacing w:before="93" w:beforeLines="30" w:after="93" w:afterLines="30"/>
              <w:jc w:val="center"/>
              <w:rPr>
                <w:rFonts w:ascii="Times New Roman" w:hAnsi="Times New Roman"/>
                <w:b/>
                <w:bCs/>
                <w:szCs w:val="21"/>
              </w:rPr>
            </w:pPr>
            <w:r>
              <w:rPr>
                <w:rFonts w:hint="eastAsia" w:ascii="Times New Roman" w:hAnsi="Times New Roman"/>
                <w:b/>
                <w:bCs/>
                <w:szCs w:val="21"/>
              </w:rPr>
              <w:t>设</w:t>
            </w:r>
          </w:p>
          <w:p>
            <w:pPr>
              <w:spacing w:before="93" w:beforeLines="30" w:after="93" w:afterLines="30"/>
              <w:jc w:val="center"/>
              <w:rPr>
                <w:rFonts w:ascii="Times New Roman" w:hAnsi="Times New Roman"/>
                <w:szCs w:val="21"/>
              </w:rPr>
            </w:pPr>
            <w:r>
              <w:rPr>
                <w:rFonts w:hint="eastAsia" w:ascii="Times New Roman" w:hAnsi="Times New Roman"/>
                <w:b/>
                <w:bCs/>
                <w:szCs w:val="21"/>
              </w:rPr>
              <w:t>备</w:t>
            </w:r>
          </w:p>
        </w:tc>
        <w:tc>
          <w:tcPr>
            <w:tcW w:w="750" w:type="dxa"/>
            <w:vMerge w:val="restart"/>
            <w:shd w:val="clear" w:color="auto" w:fill="D8D8D8"/>
            <w:noWrap w:val="0"/>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控</w:t>
            </w:r>
          </w:p>
          <w:p>
            <w:pPr>
              <w:spacing w:before="93" w:beforeLines="30" w:after="93" w:afterLines="30"/>
              <w:jc w:val="center"/>
              <w:rPr>
                <w:rFonts w:ascii="Times New Roman" w:hAnsi="Times New Roman"/>
                <w:szCs w:val="21"/>
              </w:rPr>
            </w:pPr>
            <w:r>
              <w:rPr>
                <w:rFonts w:hint="eastAsia" w:ascii="Times New Roman" w:hAnsi="Times New Roman"/>
                <w:szCs w:val="21"/>
              </w:rPr>
              <w:t>制</w:t>
            </w:r>
          </w:p>
          <w:p>
            <w:pPr>
              <w:spacing w:before="93" w:beforeLines="30" w:after="93" w:afterLines="30"/>
              <w:jc w:val="center"/>
              <w:rPr>
                <w:rFonts w:ascii="Times New Roman" w:hAnsi="Times New Roman"/>
                <w:szCs w:val="21"/>
              </w:rPr>
            </w:pPr>
            <w:r>
              <w:rPr>
                <w:rFonts w:hint="eastAsia" w:ascii="Times New Roman" w:hAnsi="Times New Roman"/>
                <w:szCs w:val="21"/>
              </w:rPr>
              <w:t>项</w:t>
            </w:r>
          </w:p>
        </w:tc>
        <w:tc>
          <w:tcPr>
            <w:tcW w:w="567" w:type="dxa"/>
            <w:vMerge w:val="restart"/>
            <w:noWrap w:val="0"/>
            <w:vAlign w:val="center"/>
          </w:tcPr>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r>
              <w:rPr>
                <w:rFonts w:ascii="Times New Roman" w:hAnsi="Times New Roman"/>
                <w:szCs w:val="21"/>
              </w:rPr>
              <w:t>14</w:t>
            </w:r>
          </w:p>
          <w:p>
            <w:pPr>
              <w:spacing w:before="93" w:beforeLines="30" w:after="93" w:afterLines="30"/>
              <w:jc w:val="center"/>
              <w:rPr>
                <w:rFonts w:ascii="Times New Roman" w:hAnsi="Times New Roman"/>
                <w:szCs w:val="21"/>
              </w:rPr>
            </w:pPr>
          </w:p>
        </w:tc>
        <w:tc>
          <w:tcPr>
            <w:tcW w:w="1366" w:type="dxa"/>
            <w:noWrap w:val="0"/>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除尘装置</w:t>
            </w:r>
          </w:p>
        </w:tc>
        <w:tc>
          <w:tcPr>
            <w:tcW w:w="700" w:type="dxa"/>
            <w:noWrap w:val="0"/>
            <w:vAlign w:val="center"/>
          </w:tcPr>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r>
              <w:rPr>
                <w:rFonts w:ascii="Times New Roman" w:hAnsi="Times New Roman"/>
                <w:szCs w:val="21"/>
              </w:rPr>
              <w:t>7</w:t>
            </w: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1.</w:t>
            </w:r>
            <w:r>
              <w:rPr>
                <w:rFonts w:hint="eastAsia" w:ascii="Times New Roman" w:hAnsi="Times New Roman"/>
                <w:szCs w:val="21"/>
              </w:rPr>
              <w:t>粉料筒仓顶部、粉料贮料斗、搅拌机进料口或骨料贮料斗的进料口均安装除尘装置，除尘装置状态和功能完好，运转正常，得</w:t>
            </w:r>
            <w:r>
              <w:rPr>
                <w:rFonts w:ascii="Times New Roman" w:hAnsi="Times New Roman"/>
                <w:b/>
                <w:bCs/>
                <w:szCs w:val="21"/>
              </w:rPr>
              <w:t>7</w:t>
            </w:r>
            <w:r>
              <w:rPr>
                <w:rFonts w:hint="eastAsia" w:ascii="Times New Roman" w:hAnsi="Times New Roman"/>
                <w:szCs w:val="21"/>
              </w:rPr>
              <w:t>分。</w:t>
            </w:r>
          </w:p>
        </w:tc>
        <w:tc>
          <w:tcPr>
            <w:tcW w:w="810" w:type="dxa"/>
            <w:gridSpan w:val="2"/>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生产废水、废浆处置系统</w:t>
            </w:r>
          </w:p>
        </w:tc>
        <w:tc>
          <w:tcPr>
            <w:tcW w:w="700" w:type="dxa"/>
            <w:vMerge w:val="restart"/>
            <w:noWrap w:val="0"/>
            <w:vAlign w:val="center"/>
          </w:tcPr>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r>
              <w:rPr>
                <w:rFonts w:ascii="Times New Roman" w:hAnsi="Times New Roman"/>
                <w:szCs w:val="21"/>
              </w:rPr>
              <w:t>7</w:t>
            </w: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1.</w:t>
            </w:r>
            <w:r>
              <w:rPr>
                <w:rFonts w:hint="eastAsia" w:ascii="Times New Roman" w:hAnsi="Times New Roman"/>
                <w:szCs w:val="21"/>
              </w:rPr>
              <w:t>生产废水、废浆处置系统包括排水沟系统、多级沉淀池系统和管道系统且正常运转，得</w:t>
            </w:r>
            <w:r>
              <w:rPr>
                <w:rFonts w:ascii="Times New Roman" w:hAnsi="Times New Roman"/>
                <w:b/>
                <w:bCs/>
                <w:szCs w:val="21"/>
              </w:rPr>
              <w:t>4</w:t>
            </w:r>
            <w:r>
              <w:rPr>
                <w:rFonts w:hint="eastAsia" w:ascii="Times New Roman" w:hAnsi="Times New Roman"/>
                <w:szCs w:val="21"/>
              </w:rPr>
              <w:t>分；</w:t>
            </w:r>
          </w:p>
        </w:tc>
        <w:tc>
          <w:tcPr>
            <w:tcW w:w="810" w:type="dxa"/>
            <w:gridSpan w:val="2"/>
            <w:vMerge w:val="restart"/>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center"/>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2.</w:t>
            </w:r>
            <w:r>
              <w:rPr>
                <w:rFonts w:hint="eastAsia" w:ascii="Times New Roman" w:hAnsi="Times New Roman"/>
                <w:szCs w:val="21"/>
              </w:rPr>
              <w:t>排水沟系统覆盖连通装车层、骨料堆场和废弃新拌混凝土处置设备设施，并与多级沉淀池连接，得</w:t>
            </w:r>
            <w:r>
              <w:rPr>
                <w:rFonts w:ascii="Times New Roman" w:hAnsi="Times New Roman"/>
                <w:b/>
                <w:bCs/>
                <w:szCs w:val="21"/>
              </w:rPr>
              <w:t>1</w:t>
            </w:r>
            <w:r>
              <w:rPr>
                <w:rFonts w:hint="eastAsia" w:ascii="Times New Roman" w:hAnsi="Times New Roman"/>
                <w:szCs w:val="21"/>
              </w:rPr>
              <w:t>分；</w:t>
            </w:r>
          </w:p>
        </w:tc>
        <w:tc>
          <w:tcPr>
            <w:tcW w:w="810" w:type="dxa"/>
            <w:gridSpan w:val="2"/>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center"/>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3.</w:t>
            </w:r>
            <w:r>
              <w:rPr>
                <w:rFonts w:hint="eastAsia" w:ascii="Times New Roman" w:hAnsi="Times New Roman"/>
                <w:szCs w:val="21"/>
              </w:rPr>
              <w:t>当生产废水和废浆用作混凝土拌合用水时，管道系统连通多级沉淀池和搅拌主机，得</w:t>
            </w:r>
            <w:r>
              <w:rPr>
                <w:rFonts w:ascii="Times New Roman" w:hAnsi="Times New Roman"/>
                <w:b/>
                <w:bCs/>
                <w:szCs w:val="21"/>
              </w:rPr>
              <w:t>1</w:t>
            </w:r>
            <w:r>
              <w:rPr>
                <w:rFonts w:hint="eastAsia" w:ascii="Times New Roman" w:hAnsi="Times New Roman"/>
                <w:szCs w:val="21"/>
              </w:rPr>
              <w:t>分；</w:t>
            </w:r>
          </w:p>
        </w:tc>
        <w:tc>
          <w:tcPr>
            <w:tcW w:w="810" w:type="dxa"/>
            <w:gridSpan w:val="2"/>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center"/>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4.</w:t>
            </w:r>
            <w:r>
              <w:rPr>
                <w:rFonts w:hint="eastAsia" w:ascii="Times New Roman" w:hAnsi="Times New Roman"/>
                <w:szCs w:val="21"/>
              </w:rPr>
              <w:t>沉淀池设有均化装置，得</w:t>
            </w:r>
            <w:r>
              <w:rPr>
                <w:rFonts w:ascii="Times New Roman" w:hAnsi="Times New Roman"/>
                <w:b/>
                <w:bCs/>
                <w:szCs w:val="21"/>
              </w:rPr>
              <w:t>1</w:t>
            </w:r>
            <w:r>
              <w:rPr>
                <w:rFonts w:hint="eastAsia" w:ascii="Times New Roman" w:hAnsi="Times New Roman"/>
                <w:szCs w:val="21"/>
              </w:rPr>
              <w:t>分；</w:t>
            </w:r>
          </w:p>
        </w:tc>
        <w:tc>
          <w:tcPr>
            <w:tcW w:w="810" w:type="dxa"/>
            <w:gridSpan w:val="2"/>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center"/>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5.</w:t>
            </w:r>
            <w:r>
              <w:rPr>
                <w:rFonts w:hint="eastAsia" w:ascii="Times New Roman" w:hAnsi="Times New Roman"/>
                <w:szCs w:val="21"/>
              </w:rPr>
              <w:t>当经沉淀或压滤处理的生产废水用于硬化地面降尘、生产设备和运输车辆冲洗时，得</w:t>
            </w:r>
            <w:r>
              <w:rPr>
                <w:rFonts w:ascii="Times New Roman" w:hAnsi="Times New Roman"/>
                <w:b/>
                <w:bCs/>
                <w:szCs w:val="21"/>
              </w:rPr>
              <w:t>2</w:t>
            </w:r>
            <w:r>
              <w:rPr>
                <w:rFonts w:hint="eastAsia" w:ascii="Times New Roman" w:hAnsi="Times New Roman"/>
                <w:szCs w:val="21"/>
              </w:rPr>
              <w:t>分。</w:t>
            </w:r>
          </w:p>
        </w:tc>
        <w:tc>
          <w:tcPr>
            <w:tcW w:w="810" w:type="dxa"/>
            <w:gridSpan w:val="2"/>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restart"/>
            <w:shd w:val="clear" w:color="auto" w:fill="D8D8D8"/>
            <w:noWrap w:val="0"/>
            <w:vAlign w:val="center"/>
          </w:tcPr>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ascii="Times New Roman" w:hAnsi="Times New Roman"/>
                <w:szCs w:val="21"/>
              </w:rPr>
            </w:pPr>
            <w:r>
              <w:rPr>
                <w:rFonts w:hint="eastAsia" w:ascii="Times New Roman" w:hAnsi="Times New Roman"/>
                <w:szCs w:val="21"/>
              </w:rPr>
              <w:t>一</w:t>
            </w:r>
          </w:p>
          <w:p>
            <w:pPr>
              <w:spacing w:before="93" w:beforeLines="30" w:after="93" w:afterLines="30"/>
              <w:jc w:val="center"/>
              <w:rPr>
                <w:rFonts w:ascii="Times New Roman" w:hAnsi="Times New Roman"/>
                <w:szCs w:val="21"/>
              </w:rPr>
            </w:pPr>
            <w:r>
              <w:rPr>
                <w:rFonts w:hint="eastAsia" w:ascii="Times New Roman" w:hAnsi="Times New Roman"/>
                <w:szCs w:val="21"/>
              </w:rPr>
              <w:t>般</w:t>
            </w:r>
          </w:p>
          <w:p>
            <w:pPr>
              <w:spacing w:before="93" w:beforeLines="30" w:after="93" w:afterLines="30"/>
              <w:jc w:val="center"/>
              <w:rPr>
                <w:rFonts w:hint="eastAsia" w:ascii="Times New Roman" w:hAnsi="Times New Roman"/>
                <w:szCs w:val="21"/>
              </w:rPr>
            </w:pPr>
            <w:r>
              <w:rPr>
                <w:rFonts w:hint="eastAsia" w:ascii="Times New Roman" w:hAnsi="Times New Roman"/>
                <w:szCs w:val="21"/>
              </w:rPr>
              <w:t>项</w:t>
            </w: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ascii="Times New Roman" w:hAnsi="Times New Roman"/>
                <w:szCs w:val="21"/>
              </w:rPr>
            </w:pPr>
            <w:r>
              <w:rPr>
                <w:rFonts w:hint="eastAsia" w:ascii="Times New Roman" w:hAnsi="Times New Roman"/>
                <w:szCs w:val="21"/>
              </w:rPr>
              <w:t>一</w:t>
            </w:r>
          </w:p>
          <w:p>
            <w:pPr>
              <w:spacing w:before="93" w:beforeLines="30" w:after="93" w:afterLines="30"/>
              <w:jc w:val="center"/>
              <w:rPr>
                <w:rFonts w:ascii="Times New Roman" w:hAnsi="Times New Roman"/>
                <w:szCs w:val="21"/>
              </w:rPr>
            </w:pPr>
            <w:r>
              <w:rPr>
                <w:rFonts w:hint="eastAsia" w:ascii="Times New Roman" w:hAnsi="Times New Roman"/>
                <w:szCs w:val="21"/>
              </w:rPr>
              <w:t>般</w:t>
            </w:r>
          </w:p>
          <w:p>
            <w:pPr>
              <w:spacing w:before="93" w:beforeLines="30" w:after="93" w:afterLines="30"/>
              <w:jc w:val="center"/>
              <w:rPr>
                <w:rFonts w:ascii="Times New Roman" w:hAnsi="Times New Roman"/>
                <w:szCs w:val="21"/>
              </w:rPr>
            </w:pPr>
            <w:r>
              <w:rPr>
                <w:rFonts w:hint="eastAsia" w:ascii="Times New Roman" w:hAnsi="Times New Roman"/>
                <w:szCs w:val="21"/>
              </w:rPr>
              <w:t>项</w:t>
            </w:r>
          </w:p>
        </w:tc>
        <w:tc>
          <w:tcPr>
            <w:tcW w:w="567" w:type="dxa"/>
            <w:vMerge w:val="restart"/>
            <w:noWrap w:val="0"/>
            <w:vAlign w:val="center"/>
          </w:tcPr>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r>
              <w:rPr>
                <w:rFonts w:ascii="Times New Roman" w:hAnsi="Times New Roman"/>
                <w:szCs w:val="21"/>
              </w:rPr>
              <w:t>36</w:t>
            </w:r>
          </w:p>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监测设备</w:t>
            </w:r>
          </w:p>
        </w:tc>
        <w:tc>
          <w:tcPr>
            <w:tcW w:w="700"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3</w:t>
            </w: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1.</w:t>
            </w:r>
            <w:r>
              <w:rPr>
                <w:rFonts w:hint="eastAsia" w:ascii="Times New Roman" w:hAnsi="Times New Roman"/>
                <w:szCs w:val="21"/>
              </w:rPr>
              <w:t>拥有经校准合格的噪声测试仪，得</w:t>
            </w:r>
            <w:r>
              <w:rPr>
                <w:rFonts w:ascii="Times New Roman" w:hAnsi="Times New Roman"/>
                <w:b/>
                <w:bCs/>
                <w:szCs w:val="21"/>
              </w:rPr>
              <w:t>1</w:t>
            </w:r>
            <w:r>
              <w:rPr>
                <w:rFonts w:hint="eastAsia" w:ascii="Times New Roman" w:hAnsi="Times New Roman"/>
                <w:szCs w:val="21"/>
              </w:rPr>
              <w:t>分；</w:t>
            </w:r>
          </w:p>
        </w:tc>
        <w:tc>
          <w:tcPr>
            <w:tcW w:w="810" w:type="dxa"/>
            <w:gridSpan w:val="2"/>
            <w:vMerge w:val="restart"/>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center"/>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2.</w:t>
            </w:r>
            <w:r>
              <w:rPr>
                <w:rFonts w:hint="eastAsia" w:ascii="Times New Roman" w:hAnsi="Times New Roman"/>
                <w:szCs w:val="21"/>
              </w:rPr>
              <w:t>拥有经校准合格的粉尘检测仪，得</w:t>
            </w:r>
            <w:r>
              <w:rPr>
                <w:rFonts w:ascii="Times New Roman" w:hAnsi="Times New Roman"/>
                <w:b/>
                <w:bCs/>
                <w:szCs w:val="21"/>
              </w:rPr>
              <w:t>2</w:t>
            </w:r>
            <w:r>
              <w:rPr>
                <w:rFonts w:hint="eastAsia" w:ascii="Times New Roman" w:hAnsi="Times New Roman"/>
                <w:szCs w:val="21"/>
              </w:rPr>
              <w:t>分。</w:t>
            </w:r>
          </w:p>
        </w:tc>
        <w:tc>
          <w:tcPr>
            <w:tcW w:w="810" w:type="dxa"/>
            <w:gridSpan w:val="2"/>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清洗装置</w:t>
            </w:r>
          </w:p>
        </w:tc>
        <w:tc>
          <w:tcPr>
            <w:tcW w:w="700" w:type="dxa"/>
            <w:vMerge w:val="restart"/>
            <w:noWrap w:val="0"/>
            <w:vAlign w:val="center"/>
          </w:tcPr>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r>
              <w:rPr>
                <w:rFonts w:ascii="Times New Roman" w:hAnsi="Times New Roman"/>
                <w:szCs w:val="21"/>
              </w:rPr>
              <w:t>4</w:t>
            </w: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1.</w:t>
            </w:r>
            <w:r>
              <w:rPr>
                <w:rFonts w:hint="eastAsia" w:ascii="Times New Roman" w:hAnsi="Times New Roman"/>
                <w:szCs w:val="21"/>
              </w:rPr>
              <w:t>预拌混凝土绿色生产配备运输车辆清洗装置，得</w:t>
            </w:r>
            <w:r>
              <w:rPr>
                <w:rFonts w:ascii="Times New Roman" w:hAnsi="Times New Roman"/>
                <w:b/>
                <w:bCs/>
                <w:szCs w:val="21"/>
              </w:rPr>
              <w:t>2</w:t>
            </w:r>
            <w:r>
              <w:rPr>
                <w:rFonts w:hint="eastAsia" w:ascii="Times New Roman" w:hAnsi="Times New Roman"/>
                <w:szCs w:val="21"/>
              </w:rPr>
              <w:t>分；</w:t>
            </w:r>
          </w:p>
        </w:tc>
        <w:tc>
          <w:tcPr>
            <w:tcW w:w="810" w:type="dxa"/>
            <w:gridSpan w:val="2"/>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center"/>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2.</w:t>
            </w:r>
            <w:r>
              <w:rPr>
                <w:rFonts w:hint="eastAsia" w:ascii="Times New Roman" w:hAnsi="Times New Roman"/>
                <w:szCs w:val="21"/>
              </w:rPr>
              <w:t>搅拌站（楼）的搅拌层和称量层设置水冲洗装置，冲洗废水通过专用管道进入生产废水处置系统，得</w:t>
            </w:r>
            <w:r>
              <w:rPr>
                <w:rFonts w:ascii="Times New Roman" w:hAnsi="Times New Roman"/>
                <w:b/>
                <w:bCs/>
                <w:szCs w:val="21"/>
              </w:rPr>
              <w:t>2</w:t>
            </w:r>
            <w:r>
              <w:rPr>
                <w:rFonts w:hint="eastAsia" w:ascii="Times New Roman" w:hAnsi="Times New Roman"/>
                <w:szCs w:val="21"/>
              </w:rPr>
              <w:t>分。</w:t>
            </w:r>
          </w:p>
        </w:tc>
        <w:tc>
          <w:tcPr>
            <w:tcW w:w="810" w:type="dxa"/>
            <w:gridSpan w:val="2"/>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noWrap w:val="0"/>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防喷溅设施</w:t>
            </w:r>
          </w:p>
        </w:tc>
        <w:tc>
          <w:tcPr>
            <w:tcW w:w="700" w:type="dxa"/>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2</w:t>
            </w:r>
          </w:p>
        </w:tc>
        <w:tc>
          <w:tcPr>
            <w:tcW w:w="4087" w:type="dxa"/>
            <w:gridSpan w:val="2"/>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搅拌主机卸料口设下料软管等防喷溅设施，得</w:t>
            </w:r>
            <w:r>
              <w:rPr>
                <w:rFonts w:ascii="Times New Roman" w:hAnsi="Times New Roman"/>
                <w:b/>
                <w:bCs/>
                <w:szCs w:val="21"/>
              </w:rPr>
              <w:t>2</w:t>
            </w:r>
            <w:r>
              <w:rPr>
                <w:rFonts w:hint="eastAsia" w:ascii="Times New Roman" w:hAnsi="Times New Roman"/>
                <w:szCs w:val="21"/>
              </w:rPr>
              <w:t>分。</w:t>
            </w:r>
          </w:p>
        </w:tc>
        <w:tc>
          <w:tcPr>
            <w:tcW w:w="810" w:type="dxa"/>
            <w:gridSpan w:val="2"/>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配料地仓、皮带输送机</w:t>
            </w:r>
          </w:p>
        </w:tc>
        <w:tc>
          <w:tcPr>
            <w:tcW w:w="700"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6</w:t>
            </w:r>
          </w:p>
        </w:tc>
        <w:tc>
          <w:tcPr>
            <w:tcW w:w="4087" w:type="dxa"/>
            <w:gridSpan w:val="2"/>
            <w:noWrap w:val="0"/>
            <w:vAlign w:val="center"/>
          </w:tcPr>
          <w:p>
            <w:pPr>
              <w:numPr>
                <w:ilvl w:val="0"/>
                <w:numId w:val="3"/>
              </w:numPr>
              <w:spacing w:before="93" w:beforeLines="30" w:after="93" w:afterLines="30"/>
              <w:jc w:val="left"/>
              <w:rPr>
                <w:rFonts w:ascii="Times New Roman" w:hAnsi="Times New Roman"/>
                <w:szCs w:val="21"/>
              </w:rPr>
            </w:pPr>
            <w:r>
              <w:rPr>
                <w:rFonts w:hint="eastAsia" w:ascii="Times New Roman" w:hAnsi="Times New Roman"/>
                <w:szCs w:val="21"/>
              </w:rPr>
              <w:t>配料地仓与骨料仓一起封闭，得</w:t>
            </w:r>
            <w:r>
              <w:rPr>
                <w:rFonts w:ascii="Times New Roman" w:hAnsi="Times New Roman"/>
                <w:b/>
                <w:bCs/>
                <w:szCs w:val="21"/>
              </w:rPr>
              <w:t>2</w:t>
            </w:r>
            <w:r>
              <w:rPr>
                <w:rFonts w:hint="eastAsia" w:ascii="Times New Roman" w:hAnsi="Times New Roman"/>
                <w:szCs w:val="21"/>
              </w:rPr>
              <w:t>分；</w:t>
            </w:r>
          </w:p>
        </w:tc>
        <w:tc>
          <w:tcPr>
            <w:tcW w:w="810" w:type="dxa"/>
            <w:gridSpan w:val="2"/>
            <w:vMerge w:val="restart"/>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center"/>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numPr>
                <w:ilvl w:val="0"/>
                <w:numId w:val="3"/>
              </w:numPr>
              <w:spacing w:before="93" w:beforeLines="30" w:after="93" w:afterLines="30"/>
              <w:jc w:val="left"/>
              <w:rPr>
                <w:rFonts w:ascii="Times New Roman" w:hAnsi="Times New Roman"/>
                <w:szCs w:val="21"/>
              </w:rPr>
            </w:pPr>
            <w:r>
              <w:rPr>
                <w:rFonts w:hint="eastAsia" w:ascii="Times New Roman" w:hAnsi="Times New Roman"/>
                <w:szCs w:val="21"/>
              </w:rPr>
              <w:t>当采用高塔式骨料仓时，配料地仓单独封闭，得</w:t>
            </w:r>
            <w:r>
              <w:rPr>
                <w:rFonts w:ascii="Times New Roman" w:hAnsi="Times New Roman"/>
                <w:b/>
                <w:bCs/>
                <w:szCs w:val="21"/>
              </w:rPr>
              <w:t>2</w:t>
            </w:r>
            <w:r>
              <w:rPr>
                <w:rFonts w:hint="eastAsia" w:ascii="Times New Roman" w:hAnsi="Times New Roman"/>
                <w:szCs w:val="21"/>
              </w:rPr>
              <w:t>分。</w:t>
            </w:r>
          </w:p>
        </w:tc>
        <w:tc>
          <w:tcPr>
            <w:tcW w:w="810" w:type="dxa"/>
            <w:gridSpan w:val="2"/>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center"/>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3.</w:t>
            </w:r>
            <w:r>
              <w:rPr>
                <w:rFonts w:hint="eastAsia" w:ascii="Times New Roman" w:hAnsi="Times New Roman"/>
                <w:szCs w:val="21"/>
              </w:rPr>
              <w:t>骨料用皮带输送机侧面封闭且上部加盖，得</w:t>
            </w:r>
            <w:r>
              <w:rPr>
                <w:rFonts w:ascii="Times New Roman" w:hAnsi="Times New Roman"/>
                <w:b/>
                <w:bCs/>
                <w:szCs w:val="21"/>
              </w:rPr>
              <w:t>4</w:t>
            </w:r>
            <w:r>
              <w:rPr>
                <w:rFonts w:hint="eastAsia" w:ascii="Times New Roman" w:hAnsi="Times New Roman"/>
                <w:szCs w:val="21"/>
              </w:rPr>
              <w:t>分。</w:t>
            </w:r>
          </w:p>
        </w:tc>
        <w:tc>
          <w:tcPr>
            <w:tcW w:w="810" w:type="dxa"/>
            <w:gridSpan w:val="2"/>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废弃新拌混凝土处置设备设施</w:t>
            </w:r>
          </w:p>
        </w:tc>
        <w:tc>
          <w:tcPr>
            <w:tcW w:w="700"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4</w:t>
            </w:r>
          </w:p>
        </w:tc>
        <w:tc>
          <w:tcPr>
            <w:tcW w:w="4087" w:type="dxa"/>
            <w:gridSpan w:val="2"/>
            <w:noWrap w:val="0"/>
            <w:vAlign w:val="center"/>
          </w:tcPr>
          <w:p>
            <w:pPr>
              <w:numPr>
                <w:ilvl w:val="0"/>
                <w:numId w:val="4"/>
              </w:numPr>
              <w:spacing w:before="93" w:beforeLines="30" w:after="93" w:afterLines="30"/>
              <w:jc w:val="left"/>
              <w:rPr>
                <w:rFonts w:ascii="Times New Roman" w:hAnsi="Times New Roman"/>
                <w:szCs w:val="21"/>
              </w:rPr>
            </w:pPr>
            <w:r>
              <w:rPr>
                <w:rFonts w:hint="eastAsia" w:ascii="Times New Roman" w:hAnsi="Times New Roman"/>
                <w:szCs w:val="21"/>
              </w:rPr>
              <w:t>采用砂石分离机时，砂石分离机的状态和功能良好，运行正常，得</w:t>
            </w:r>
            <w:r>
              <w:rPr>
                <w:rFonts w:ascii="Times New Roman" w:hAnsi="Times New Roman"/>
                <w:b/>
                <w:bCs/>
                <w:szCs w:val="21"/>
              </w:rPr>
              <w:t>4</w:t>
            </w:r>
            <w:r>
              <w:rPr>
                <w:rFonts w:hint="eastAsia" w:ascii="Times New Roman" w:hAnsi="Times New Roman"/>
                <w:szCs w:val="21"/>
              </w:rPr>
              <w:t>分；</w:t>
            </w:r>
          </w:p>
        </w:tc>
        <w:tc>
          <w:tcPr>
            <w:tcW w:w="810" w:type="dxa"/>
            <w:gridSpan w:val="2"/>
            <w:vMerge w:val="restart"/>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center"/>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numPr>
                <w:ilvl w:val="0"/>
                <w:numId w:val="4"/>
              </w:numPr>
              <w:spacing w:before="93" w:beforeLines="30" w:after="93" w:afterLines="30"/>
              <w:jc w:val="left"/>
              <w:rPr>
                <w:rFonts w:ascii="Times New Roman" w:hAnsi="Times New Roman"/>
                <w:szCs w:val="21"/>
              </w:rPr>
            </w:pPr>
            <w:r>
              <w:rPr>
                <w:rFonts w:hint="eastAsia" w:ascii="Times New Roman" w:hAnsi="Times New Roman"/>
                <w:szCs w:val="21"/>
              </w:rPr>
              <w:t>利用废弃新拌混凝土成型小型预制构件时，小型预制构件成型设备的状态和功能良好，运行正常，得</w:t>
            </w:r>
            <w:r>
              <w:rPr>
                <w:rFonts w:ascii="Times New Roman" w:hAnsi="Times New Roman"/>
                <w:b/>
                <w:bCs/>
                <w:szCs w:val="21"/>
              </w:rPr>
              <w:t>4</w:t>
            </w:r>
            <w:r>
              <w:rPr>
                <w:rFonts w:hint="eastAsia" w:ascii="Times New Roman" w:hAnsi="Times New Roman"/>
                <w:szCs w:val="21"/>
              </w:rPr>
              <w:t>分；</w:t>
            </w:r>
          </w:p>
        </w:tc>
        <w:tc>
          <w:tcPr>
            <w:tcW w:w="810" w:type="dxa"/>
            <w:gridSpan w:val="2"/>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center"/>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3.</w:t>
            </w:r>
            <w:r>
              <w:rPr>
                <w:rFonts w:hint="eastAsia" w:ascii="Times New Roman" w:hAnsi="Times New Roman"/>
                <w:szCs w:val="21"/>
              </w:rPr>
              <w:t>采用其他先进设备设施处理废弃新拌混凝土并实现砂、石和水的循环利用时，得</w:t>
            </w:r>
            <w:r>
              <w:rPr>
                <w:rFonts w:ascii="Times New Roman" w:hAnsi="Times New Roman"/>
                <w:b/>
                <w:bCs/>
                <w:szCs w:val="21"/>
              </w:rPr>
              <w:t>4</w:t>
            </w:r>
            <w:r>
              <w:rPr>
                <w:rFonts w:hint="eastAsia" w:ascii="Times New Roman" w:hAnsi="Times New Roman"/>
                <w:szCs w:val="21"/>
              </w:rPr>
              <w:t>分。</w:t>
            </w:r>
          </w:p>
        </w:tc>
        <w:tc>
          <w:tcPr>
            <w:tcW w:w="810" w:type="dxa"/>
            <w:gridSpan w:val="2"/>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粉料仓标识和料位控制系统</w:t>
            </w:r>
          </w:p>
        </w:tc>
        <w:tc>
          <w:tcPr>
            <w:tcW w:w="700"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3</w:t>
            </w:r>
          </w:p>
        </w:tc>
        <w:tc>
          <w:tcPr>
            <w:tcW w:w="4087" w:type="dxa"/>
            <w:gridSpan w:val="2"/>
            <w:noWrap w:val="0"/>
            <w:vAlign w:val="center"/>
          </w:tcPr>
          <w:p>
            <w:pPr>
              <w:numPr>
                <w:ilvl w:val="0"/>
                <w:numId w:val="5"/>
              </w:numPr>
              <w:spacing w:before="93" w:beforeLines="30" w:after="93" w:afterLines="30"/>
              <w:jc w:val="left"/>
              <w:rPr>
                <w:rFonts w:ascii="Times New Roman" w:hAnsi="Times New Roman"/>
                <w:szCs w:val="21"/>
              </w:rPr>
            </w:pPr>
            <w:r>
              <w:rPr>
                <w:rFonts w:hint="eastAsia" w:ascii="Times New Roman" w:hAnsi="Times New Roman"/>
                <w:szCs w:val="21"/>
              </w:rPr>
              <w:t>水泥、粉煤灰、矿粉等粉料仓标识清晰，得</w:t>
            </w:r>
            <w:r>
              <w:rPr>
                <w:rFonts w:ascii="Times New Roman" w:hAnsi="Times New Roman"/>
                <w:b/>
                <w:bCs/>
                <w:szCs w:val="21"/>
              </w:rPr>
              <w:t>1</w:t>
            </w:r>
            <w:r>
              <w:rPr>
                <w:rFonts w:hint="eastAsia" w:ascii="Times New Roman" w:hAnsi="Times New Roman"/>
                <w:szCs w:val="21"/>
              </w:rPr>
              <w:t>分；</w:t>
            </w:r>
          </w:p>
        </w:tc>
        <w:tc>
          <w:tcPr>
            <w:tcW w:w="810" w:type="dxa"/>
            <w:gridSpan w:val="2"/>
            <w:vMerge w:val="restart"/>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center"/>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2.</w:t>
            </w:r>
            <w:r>
              <w:rPr>
                <w:rFonts w:hint="eastAsia" w:ascii="Times New Roman" w:hAnsi="Times New Roman"/>
                <w:szCs w:val="21"/>
              </w:rPr>
              <w:t>粉料仓均配备料位控制系统，得</w:t>
            </w:r>
            <w:r>
              <w:rPr>
                <w:rFonts w:ascii="Times New Roman" w:hAnsi="Times New Roman"/>
                <w:b/>
                <w:bCs/>
                <w:szCs w:val="21"/>
              </w:rPr>
              <w:t>2</w:t>
            </w:r>
            <w:r>
              <w:rPr>
                <w:rFonts w:hint="eastAsia" w:ascii="Times New Roman" w:hAnsi="Times New Roman"/>
                <w:szCs w:val="21"/>
              </w:rPr>
              <w:t>分。</w:t>
            </w:r>
          </w:p>
        </w:tc>
        <w:tc>
          <w:tcPr>
            <w:tcW w:w="810" w:type="dxa"/>
            <w:gridSpan w:val="2"/>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noWrap w:val="0"/>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雨水收集系统</w:t>
            </w:r>
          </w:p>
        </w:tc>
        <w:tc>
          <w:tcPr>
            <w:tcW w:w="700" w:type="dxa"/>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2</w:t>
            </w:r>
          </w:p>
        </w:tc>
        <w:tc>
          <w:tcPr>
            <w:tcW w:w="4087" w:type="dxa"/>
            <w:gridSpan w:val="2"/>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设有雨水收集系统并有效利用，得</w:t>
            </w:r>
            <w:r>
              <w:rPr>
                <w:rFonts w:ascii="Times New Roman" w:hAnsi="Times New Roman"/>
                <w:b/>
                <w:bCs/>
                <w:szCs w:val="21"/>
              </w:rPr>
              <w:t>2</w:t>
            </w:r>
            <w:r>
              <w:rPr>
                <w:rFonts w:hint="eastAsia" w:ascii="Times New Roman" w:hAnsi="Times New Roman"/>
                <w:szCs w:val="21"/>
              </w:rPr>
              <w:t>分。</w:t>
            </w:r>
          </w:p>
        </w:tc>
        <w:tc>
          <w:tcPr>
            <w:tcW w:w="810" w:type="dxa"/>
            <w:gridSpan w:val="2"/>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整体封闭的搅拌站（楼）</w:t>
            </w:r>
          </w:p>
        </w:tc>
        <w:tc>
          <w:tcPr>
            <w:tcW w:w="700"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5</w:t>
            </w:r>
          </w:p>
        </w:tc>
        <w:tc>
          <w:tcPr>
            <w:tcW w:w="4087" w:type="dxa"/>
            <w:gridSpan w:val="2"/>
            <w:noWrap w:val="0"/>
            <w:vAlign w:val="center"/>
          </w:tcPr>
          <w:p>
            <w:pPr>
              <w:numPr>
                <w:ilvl w:val="0"/>
                <w:numId w:val="6"/>
              </w:numPr>
              <w:spacing w:before="93" w:beforeLines="30" w:after="93" w:afterLines="30"/>
              <w:jc w:val="left"/>
              <w:rPr>
                <w:rFonts w:ascii="Times New Roman" w:hAnsi="Times New Roman"/>
                <w:szCs w:val="21"/>
              </w:rPr>
            </w:pPr>
            <w:r>
              <w:rPr>
                <w:rFonts w:hint="eastAsia" w:ascii="Times New Roman" w:hAnsi="Times New Roman"/>
                <w:szCs w:val="21"/>
              </w:rPr>
              <w:t>当搅拌站（楼）四周封闭时，得</w:t>
            </w:r>
            <w:r>
              <w:rPr>
                <w:rFonts w:ascii="Times New Roman" w:hAnsi="Times New Roman"/>
                <w:b/>
                <w:bCs/>
                <w:szCs w:val="21"/>
              </w:rPr>
              <w:t>4</w:t>
            </w:r>
            <w:r>
              <w:rPr>
                <w:rFonts w:hint="eastAsia" w:ascii="Times New Roman" w:hAnsi="Times New Roman"/>
                <w:szCs w:val="21"/>
              </w:rPr>
              <w:t>分，噪声和生产性粉尘排放满足《预拌混凝土绿色生产及管理技术规程》</w:t>
            </w:r>
            <w:r>
              <w:rPr>
                <w:rFonts w:ascii="Times New Roman" w:hAnsi="Times New Roman"/>
                <w:szCs w:val="21"/>
              </w:rPr>
              <w:t>5.4</w:t>
            </w:r>
            <w:r>
              <w:rPr>
                <w:rFonts w:hint="eastAsia" w:ascii="Times New Roman" w:hAnsi="Times New Roman"/>
                <w:szCs w:val="21"/>
              </w:rPr>
              <w:t>节和</w:t>
            </w:r>
            <w:r>
              <w:rPr>
                <w:rFonts w:ascii="Times New Roman" w:hAnsi="Times New Roman"/>
                <w:szCs w:val="21"/>
              </w:rPr>
              <w:t>5.5</w:t>
            </w:r>
            <w:r>
              <w:rPr>
                <w:rFonts w:hint="eastAsia" w:ascii="Times New Roman" w:hAnsi="Times New Roman"/>
                <w:szCs w:val="21"/>
              </w:rPr>
              <w:t>节要求，得</w:t>
            </w:r>
            <w:r>
              <w:rPr>
                <w:rFonts w:ascii="Times New Roman" w:hAnsi="Times New Roman"/>
                <w:b/>
                <w:bCs/>
                <w:szCs w:val="21"/>
              </w:rPr>
              <w:t>1</w:t>
            </w:r>
            <w:r>
              <w:rPr>
                <w:rFonts w:hint="eastAsia" w:ascii="Times New Roman" w:hAnsi="Times New Roman"/>
                <w:szCs w:val="21"/>
              </w:rPr>
              <w:t>分；</w:t>
            </w:r>
          </w:p>
        </w:tc>
        <w:tc>
          <w:tcPr>
            <w:tcW w:w="810" w:type="dxa"/>
            <w:gridSpan w:val="2"/>
            <w:vMerge w:val="restart"/>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center"/>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numPr>
                <w:ilvl w:val="0"/>
                <w:numId w:val="6"/>
              </w:numPr>
              <w:spacing w:before="93" w:beforeLines="30" w:after="93" w:afterLines="30"/>
              <w:jc w:val="left"/>
              <w:rPr>
                <w:rFonts w:ascii="Times New Roman" w:hAnsi="Times New Roman"/>
                <w:szCs w:val="21"/>
              </w:rPr>
            </w:pPr>
            <w:r>
              <w:rPr>
                <w:rFonts w:hint="eastAsia" w:ascii="Times New Roman" w:hAnsi="Times New Roman"/>
                <w:szCs w:val="21"/>
              </w:rPr>
              <w:t>当搅拌站（楼）四周及顶部同时封闭时，得</w:t>
            </w:r>
            <w:r>
              <w:rPr>
                <w:rFonts w:ascii="Times New Roman" w:hAnsi="Times New Roman"/>
                <w:b/>
                <w:bCs/>
                <w:szCs w:val="21"/>
              </w:rPr>
              <w:t>5</w:t>
            </w:r>
            <w:r>
              <w:rPr>
                <w:rFonts w:hint="eastAsia" w:ascii="Times New Roman" w:hAnsi="Times New Roman"/>
                <w:szCs w:val="21"/>
              </w:rPr>
              <w:t>分；</w:t>
            </w:r>
          </w:p>
        </w:tc>
        <w:tc>
          <w:tcPr>
            <w:tcW w:w="810" w:type="dxa"/>
            <w:gridSpan w:val="2"/>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center"/>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3.</w:t>
            </w:r>
            <w:r>
              <w:rPr>
                <w:rFonts w:hint="eastAsia" w:ascii="Times New Roman" w:hAnsi="Times New Roman"/>
                <w:szCs w:val="21"/>
              </w:rPr>
              <w:t>当搅拌站不封闭并满足《预拌混凝土绿色生产及管理技术规程》</w:t>
            </w:r>
            <w:r>
              <w:rPr>
                <w:rFonts w:ascii="Times New Roman" w:hAnsi="Times New Roman"/>
                <w:szCs w:val="21"/>
              </w:rPr>
              <w:t>5.4</w:t>
            </w:r>
            <w:r>
              <w:rPr>
                <w:rFonts w:hint="eastAsia" w:ascii="Times New Roman" w:hAnsi="Times New Roman"/>
                <w:szCs w:val="21"/>
              </w:rPr>
              <w:t>节和</w:t>
            </w:r>
            <w:r>
              <w:rPr>
                <w:rFonts w:ascii="Times New Roman" w:hAnsi="Times New Roman"/>
                <w:szCs w:val="21"/>
              </w:rPr>
              <w:t>5.5</w:t>
            </w:r>
            <w:r>
              <w:rPr>
                <w:rFonts w:hint="eastAsia" w:ascii="Times New Roman" w:hAnsi="Times New Roman"/>
                <w:szCs w:val="21"/>
              </w:rPr>
              <w:t>节要求时，得</w:t>
            </w:r>
            <w:r>
              <w:rPr>
                <w:rFonts w:ascii="Times New Roman" w:hAnsi="Times New Roman"/>
                <w:b/>
                <w:bCs/>
                <w:szCs w:val="21"/>
              </w:rPr>
              <w:t>5</w:t>
            </w:r>
            <w:r>
              <w:rPr>
                <w:rFonts w:hint="eastAsia" w:ascii="Times New Roman" w:hAnsi="Times New Roman"/>
                <w:szCs w:val="21"/>
              </w:rPr>
              <w:t>分。</w:t>
            </w:r>
          </w:p>
        </w:tc>
        <w:tc>
          <w:tcPr>
            <w:tcW w:w="810" w:type="dxa"/>
            <w:gridSpan w:val="2"/>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rPr>
                <w:rFonts w:ascii="Times New Roman" w:hAnsi="Times New Roman"/>
                <w:szCs w:val="21"/>
              </w:rPr>
            </w:pPr>
          </w:p>
          <w:p>
            <w:pPr>
              <w:spacing w:before="93" w:beforeLines="30" w:after="93" w:afterLines="30"/>
              <w:jc w:val="center"/>
              <w:rPr>
                <w:rFonts w:ascii="Times New Roman" w:hAnsi="Times New Roman"/>
                <w:szCs w:val="21"/>
              </w:rPr>
            </w:pPr>
            <w:r>
              <w:rPr>
                <w:rFonts w:hint="eastAsia" w:ascii="Times New Roman" w:hAnsi="Times New Roman"/>
                <w:szCs w:val="21"/>
              </w:rPr>
              <w:t>骨料堆场</w:t>
            </w:r>
          </w:p>
          <w:p>
            <w:pPr>
              <w:spacing w:before="93" w:beforeLines="30" w:after="93" w:afterLines="30"/>
              <w:jc w:val="center"/>
              <w:rPr>
                <w:rFonts w:ascii="Times New Roman" w:hAnsi="Times New Roman"/>
                <w:szCs w:val="21"/>
              </w:rPr>
            </w:pPr>
            <w:r>
              <w:rPr>
                <w:rFonts w:hint="eastAsia" w:ascii="Times New Roman" w:hAnsi="Times New Roman"/>
                <w:szCs w:val="21"/>
              </w:rPr>
              <w:t>或高塔式</w:t>
            </w:r>
          </w:p>
          <w:p>
            <w:pPr>
              <w:spacing w:before="93" w:beforeLines="30" w:after="93" w:afterLines="30"/>
              <w:jc w:val="center"/>
              <w:rPr>
                <w:rFonts w:ascii="Times New Roman" w:hAnsi="Times New Roman"/>
                <w:szCs w:val="21"/>
              </w:rPr>
            </w:pPr>
            <w:r>
              <w:rPr>
                <w:rFonts w:hint="eastAsia" w:ascii="Times New Roman" w:hAnsi="Times New Roman"/>
                <w:szCs w:val="21"/>
              </w:rPr>
              <w:t>骨料仓</w:t>
            </w:r>
          </w:p>
        </w:tc>
        <w:tc>
          <w:tcPr>
            <w:tcW w:w="700"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5</w:t>
            </w:r>
          </w:p>
        </w:tc>
        <w:tc>
          <w:tcPr>
            <w:tcW w:w="4087" w:type="dxa"/>
            <w:gridSpan w:val="2"/>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一、当采用高塔式骨料仓时，得</w:t>
            </w:r>
            <w:r>
              <w:rPr>
                <w:rFonts w:ascii="Times New Roman" w:hAnsi="Times New Roman"/>
                <w:b/>
                <w:bCs/>
                <w:szCs w:val="21"/>
              </w:rPr>
              <w:t>5</w:t>
            </w:r>
            <w:r>
              <w:rPr>
                <w:rFonts w:hint="eastAsia" w:ascii="Times New Roman" w:hAnsi="Times New Roman"/>
                <w:szCs w:val="21"/>
              </w:rPr>
              <w:t>分；</w:t>
            </w:r>
          </w:p>
        </w:tc>
        <w:tc>
          <w:tcPr>
            <w:tcW w:w="810" w:type="dxa"/>
            <w:gridSpan w:val="2"/>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center"/>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936" w:type="dxa"/>
            <w:vMerge w:val="restart"/>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二、当采用骨料堆场时</w:t>
            </w:r>
          </w:p>
        </w:tc>
        <w:tc>
          <w:tcPr>
            <w:tcW w:w="3151" w:type="dxa"/>
            <w:noWrap w:val="0"/>
            <w:vAlign w:val="center"/>
          </w:tcPr>
          <w:p>
            <w:pPr>
              <w:spacing w:before="93" w:beforeLines="30" w:after="93" w:afterLines="30"/>
              <w:jc w:val="left"/>
              <w:rPr>
                <w:rFonts w:ascii="Times New Roman" w:hAnsi="Times New Roman"/>
                <w:szCs w:val="21"/>
              </w:rPr>
            </w:pPr>
            <w:r>
              <w:rPr>
                <w:rFonts w:ascii="Times New Roman" w:hAnsi="Times New Roman"/>
                <w:szCs w:val="21"/>
              </w:rPr>
              <w:t>1.</w:t>
            </w:r>
            <w:r>
              <w:rPr>
                <w:rFonts w:hint="eastAsia" w:ascii="Times New Roman" w:hAnsi="Times New Roman"/>
                <w:szCs w:val="21"/>
              </w:rPr>
              <w:t>地面硬化率</w:t>
            </w:r>
            <w:r>
              <w:rPr>
                <w:rFonts w:ascii="Times New Roman" w:hAnsi="Times New Roman"/>
                <w:szCs w:val="21"/>
              </w:rPr>
              <w:t>100%</w:t>
            </w:r>
            <w:r>
              <w:rPr>
                <w:rFonts w:hint="eastAsia" w:ascii="Times New Roman" w:hAnsi="Times New Roman"/>
                <w:szCs w:val="21"/>
              </w:rPr>
              <w:t>，并排水通畅，得</w:t>
            </w:r>
            <w:r>
              <w:rPr>
                <w:rFonts w:ascii="Times New Roman" w:hAnsi="Times New Roman"/>
                <w:szCs w:val="21"/>
              </w:rPr>
              <w:t>1</w:t>
            </w:r>
            <w:r>
              <w:rPr>
                <w:rFonts w:hint="eastAsia" w:ascii="Times New Roman" w:hAnsi="Times New Roman"/>
                <w:szCs w:val="21"/>
              </w:rPr>
              <w:t>分；</w:t>
            </w:r>
          </w:p>
        </w:tc>
        <w:tc>
          <w:tcPr>
            <w:tcW w:w="810" w:type="dxa"/>
            <w:gridSpan w:val="2"/>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155"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936" w:type="dxa"/>
            <w:vMerge w:val="continue"/>
            <w:noWrap w:val="0"/>
            <w:vAlign w:val="center"/>
          </w:tcPr>
          <w:p>
            <w:pPr>
              <w:spacing w:before="93" w:beforeLines="30" w:after="93" w:afterLines="30"/>
              <w:jc w:val="left"/>
              <w:rPr>
                <w:rFonts w:ascii="Times New Roman" w:hAnsi="Times New Roman"/>
                <w:szCs w:val="21"/>
              </w:rPr>
            </w:pPr>
          </w:p>
        </w:tc>
        <w:tc>
          <w:tcPr>
            <w:tcW w:w="3151" w:type="dxa"/>
            <w:noWrap w:val="0"/>
            <w:vAlign w:val="center"/>
          </w:tcPr>
          <w:p>
            <w:pPr>
              <w:spacing w:before="93" w:beforeLines="30" w:after="93" w:afterLines="30"/>
              <w:jc w:val="left"/>
              <w:rPr>
                <w:rFonts w:ascii="Times New Roman" w:hAnsi="Times New Roman"/>
                <w:szCs w:val="21"/>
              </w:rPr>
            </w:pPr>
            <w:r>
              <w:rPr>
                <w:rFonts w:ascii="Times New Roman" w:hAnsi="Times New Roman"/>
                <w:szCs w:val="21"/>
              </w:rPr>
              <w:t>2.</w:t>
            </w:r>
            <w:r>
              <w:rPr>
                <w:rFonts w:hint="eastAsia" w:ascii="Times New Roman" w:hAnsi="Times New Roman"/>
                <w:szCs w:val="21"/>
              </w:rPr>
              <w:t>采用有顶盖无围墙的简易封闭骨料堆场，得</w:t>
            </w:r>
            <w:r>
              <w:rPr>
                <w:rFonts w:ascii="Times New Roman" w:hAnsi="Times New Roman"/>
                <w:szCs w:val="21"/>
              </w:rPr>
              <w:t>2</w:t>
            </w:r>
            <w:r>
              <w:rPr>
                <w:rFonts w:hint="eastAsia" w:ascii="Times New Roman" w:hAnsi="Times New Roman"/>
                <w:szCs w:val="21"/>
              </w:rPr>
              <w:t>分，噪声和生产性粉尘排放满足《预拌混凝土绿色生产及管理技术规程》</w:t>
            </w:r>
            <w:r>
              <w:rPr>
                <w:rFonts w:ascii="Times New Roman" w:hAnsi="Times New Roman"/>
                <w:szCs w:val="21"/>
              </w:rPr>
              <w:t>5.4</w:t>
            </w:r>
            <w:r>
              <w:rPr>
                <w:rFonts w:hint="eastAsia" w:ascii="Times New Roman" w:hAnsi="Times New Roman"/>
                <w:szCs w:val="21"/>
              </w:rPr>
              <w:t>节和</w:t>
            </w:r>
            <w:r>
              <w:rPr>
                <w:rFonts w:ascii="Times New Roman" w:hAnsi="Times New Roman"/>
                <w:szCs w:val="21"/>
              </w:rPr>
              <w:t>5.5</w:t>
            </w:r>
            <w:r>
              <w:rPr>
                <w:rFonts w:hint="eastAsia" w:ascii="Times New Roman" w:hAnsi="Times New Roman"/>
                <w:szCs w:val="21"/>
              </w:rPr>
              <w:t>节要求，得</w:t>
            </w:r>
            <w:r>
              <w:rPr>
                <w:rFonts w:ascii="Times New Roman" w:hAnsi="Times New Roman"/>
                <w:szCs w:val="21"/>
              </w:rPr>
              <w:t>2</w:t>
            </w:r>
            <w:r>
              <w:rPr>
                <w:rFonts w:hint="eastAsia" w:ascii="Times New Roman" w:hAnsi="Times New Roman"/>
                <w:szCs w:val="21"/>
              </w:rPr>
              <w:t>分；</w:t>
            </w:r>
          </w:p>
        </w:tc>
        <w:tc>
          <w:tcPr>
            <w:tcW w:w="802" w:type="dxa"/>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061"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936" w:type="dxa"/>
            <w:vMerge w:val="continue"/>
            <w:noWrap w:val="0"/>
            <w:vAlign w:val="center"/>
          </w:tcPr>
          <w:p>
            <w:pPr>
              <w:spacing w:before="93" w:beforeLines="30" w:after="93" w:afterLines="30"/>
              <w:jc w:val="left"/>
              <w:rPr>
                <w:rFonts w:ascii="Times New Roman" w:hAnsi="Times New Roman"/>
                <w:szCs w:val="21"/>
              </w:rPr>
            </w:pPr>
          </w:p>
        </w:tc>
        <w:tc>
          <w:tcPr>
            <w:tcW w:w="3151" w:type="dxa"/>
            <w:noWrap w:val="0"/>
            <w:vAlign w:val="center"/>
          </w:tcPr>
          <w:p>
            <w:pPr>
              <w:spacing w:before="93" w:beforeLines="30" w:after="93" w:afterLines="30"/>
              <w:jc w:val="left"/>
              <w:rPr>
                <w:rFonts w:ascii="Times New Roman" w:hAnsi="Times New Roman"/>
                <w:szCs w:val="21"/>
              </w:rPr>
            </w:pPr>
            <w:r>
              <w:rPr>
                <w:rFonts w:ascii="Times New Roman" w:hAnsi="Times New Roman"/>
                <w:szCs w:val="21"/>
              </w:rPr>
              <w:t>3.</w:t>
            </w:r>
            <w:r>
              <w:rPr>
                <w:rFonts w:hint="eastAsia" w:ascii="Times New Roman" w:hAnsi="Times New Roman"/>
                <w:szCs w:val="21"/>
              </w:rPr>
              <w:t>采用有三面以上围墙的封闭式堆场，得</w:t>
            </w:r>
            <w:r>
              <w:rPr>
                <w:rFonts w:ascii="Times New Roman" w:hAnsi="Times New Roman"/>
                <w:szCs w:val="21"/>
              </w:rPr>
              <w:t>3</w:t>
            </w:r>
            <w:r>
              <w:rPr>
                <w:rFonts w:hint="eastAsia" w:ascii="Times New Roman" w:hAnsi="Times New Roman"/>
                <w:szCs w:val="21"/>
              </w:rPr>
              <w:t>分，噪声和生产性粉尘排放满足《预拌混凝土绿色生产及管理技术规程》</w:t>
            </w:r>
            <w:r>
              <w:rPr>
                <w:rFonts w:ascii="Times New Roman" w:hAnsi="Times New Roman"/>
                <w:szCs w:val="21"/>
              </w:rPr>
              <w:t>5.4</w:t>
            </w:r>
            <w:r>
              <w:rPr>
                <w:rFonts w:hint="eastAsia" w:ascii="Times New Roman" w:hAnsi="Times New Roman"/>
                <w:szCs w:val="21"/>
              </w:rPr>
              <w:t>节和</w:t>
            </w:r>
            <w:r>
              <w:rPr>
                <w:rFonts w:ascii="Times New Roman" w:hAnsi="Times New Roman"/>
                <w:szCs w:val="21"/>
              </w:rPr>
              <w:t>5.5</w:t>
            </w:r>
            <w:r>
              <w:rPr>
                <w:rFonts w:hint="eastAsia" w:ascii="Times New Roman" w:hAnsi="Times New Roman"/>
                <w:szCs w:val="21"/>
              </w:rPr>
              <w:t>节要求，得</w:t>
            </w:r>
            <w:r>
              <w:rPr>
                <w:rFonts w:ascii="Times New Roman" w:hAnsi="Times New Roman"/>
                <w:szCs w:val="21"/>
              </w:rPr>
              <w:t>1</w:t>
            </w:r>
            <w:r>
              <w:rPr>
                <w:rFonts w:hint="eastAsia" w:ascii="Times New Roman" w:hAnsi="Times New Roman"/>
                <w:szCs w:val="21"/>
              </w:rPr>
              <w:t>分；</w:t>
            </w:r>
          </w:p>
        </w:tc>
        <w:tc>
          <w:tcPr>
            <w:tcW w:w="802" w:type="dxa"/>
            <w:vMerge w:val="restart"/>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34"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936" w:type="dxa"/>
            <w:vMerge w:val="continue"/>
            <w:noWrap w:val="0"/>
            <w:vAlign w:val="center"/>
          </w:tcPr>
          <w:p>
            <w:pPr>
              <w:spacing w:before="93" w:beforeLines="30" w:after="93" w:afterLines="30"/>
              <w:jc w:val="left"/>
              <w:rPr>
                <w:rFonts w:ascii="Times New Roman" w:hAnsi="Times New Roman"/>
                <w:szCs w:val="21"/>
              </w:rPr>
            </w:pPr>
          </w:p>
        </w:tc>
        <w:tc>
          <w:tcPr>
            <w:tcW w:w="3151" w:type="dxa"/>
            <w:noWrap w:val="0"/>
            <w:vAlign w:val="center"/>
          </w:tcPr>
          <w:p>
            <w:pPr>
              <w:spacing w:before="93" w:beforeLines="30" w:after="93" w:afterLines="30"/>
              <w:jc w:val="left"/>
              <w:rPr>
                <w:rFonts w:ascii="Times New Roman" w:hAnsi="Times New Roman"/>
                <w:szCs w:val="21"/>
              </w:rPr>
            </w:pPr>
            <w:r>
              <w:rPr>
                <w:rFonts w:ascii="Times New Roman" w:hAnsi="Times New Roman"/>
                <w:szCs w:val="21"/>
              </w:rPr>
              <w:t>4.</w:t>
            </w:r>
            <w:r>
              <w:rPr>
                <w:rFonts w:hint="eastAsia" w:ascii="Times New Roman" w:hAnsi="Times New Roman"/>
                <w:szCs w:val="21"/>
              </w:rPr>
              <w:t>采用有三面以上围墙且安装喷淋抑尘装置的封闭式堆场，得</w:t>
            </w:r>
            <w:r>
              <w:rPr>
                <w:rFonts w:ascii="Times New Roman" w:hAnsi="Times New Roman"/>
                <w:szCs w:val="21"/>
              </w:rPr>
              <w:t>4</w:t>
            </w:r>
            <w:r>
              <w:rPr>
                <w:rFonts w:hint="eastAsia" w:ascii="Times New Roman" w:hAnsi="Times New Roman"/>
                <w:szCs w:val="21"/>
              </w:rPr>
              <w:t>分。</w:t>
            </w:r>
          </w:p>
        </w:tc>
        <w:tc>
          <w:tcPr>
            <w:tcW w:w="802" w:type="dxa"/>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64"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隔声装置</w:t>
            </w:r>
          </w:p>
        </w:tc>
        <w:tc>
          <w:tcPr>
            <w:tcW w:w="700"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2</w:t>
            </w:r>
          </w:p>
        </w:tc>
        <w:tc>
          <w:tcPr>
            <w:tcW w:w="4087" w:type="dxa"/>
            <w:gridSpan w:val="2"/>
            <w:noWrap w:val="0"/>
            <w:vAlign w:val="center"/>
          </w:tcPr>
          <w:p>
            <w:pPr>
              <w:numPr>
                <w:ilvl w:val="0"/>
                <w:numId w:val="7"/>
              </w:numPr>
              <w:spacing w:before="93" w:beforeLines="30" w:after="93" w:afterLines="30"/>
              <w:jc w:val="left"/>
              <w:rPr>
                <w:rFonts w:ascii="Times New Roman" w:hAnsi="Times New Roman"/>
                <w:szCs w:val="21"/>
              </w:rPr>
            </w:pPr>
            <w:r>
              <w:rPr>
                <w:rFonts w:hint="eastAsia" w:ascii="Times New Roman" w:hAnsi="Times New Roman"/>
                <w:szCs w:val="21"/>
              </w:rPr>
              <w:t>搅拌站（楼）临近居民区时，在厂界安装隔声装置，得</w:t>
            </w:r>
            <w:r>
              <w:rPr>
                <w:rFonts w:ascii="Times New Roman" w:hAnsi="Times New Roman"/>
                <w:b/>
                <w:bCs/>
                <w:szCs w:val="21"/>
              </w:rPr>
              <w:t>2</w:t>
            </w:r>
            <w:r>
              <w:rPr>
                <w:rFonts w:hint="eastAsia" w:ascii="Times New Roman" w:hAnsi="Times New Roman"/>
                <w:szCs w:val="21"/>
              </w:rPr>
              <w:t>分；</w:t>
            </w:r>
          </w:p>
        </w:tc>
        <w:tc>
          <w:tcPr>
            <w:tcW w:w="802" w:type="dxa"/>
            <w:vMerge w:val="restart"/>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76"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numPr>
                <w:ilvl w:val="0"/>
                <w:numId w:val="7"/>
              </w:numPr>
              <w:spacing w:before="93" w:beforeLines="30" w:after="93" w:afterLines="30"/>
              <w:jc w:val="left"/>
              <w:rPr>
                <w:rFonts w:ascii="Times New Roman" w:hAnsi="Times New Roman"/>
                <w:szCs w:val="21"/>
              </w:rPr>
            </w:pPr>
            <w:r>
              <w:rPr>
                <w:rFonts w:hint="eastAsia" w:ascii="Times New Roman" w:hAnsi="Times New Roman"/>
                <w:szCs w:val="21"/>
              </w:rPr>
              <w:t>搅拌站（楼）厂界与居民区最近距离大于</w:t>
            </w:r>
            <w:r>
              <w:rPr>
                <w:rFonts w:ascii="Times New Roman" w:hAnsi="Times New Roman"/>
                <w:szCs w:val="21"/>
              </w:rPr>
              <w:t>50m</w:t>
            </w:r>
            <w:r>
              <w:rPr>
                <w:rFonts w:hint="eastAsia" w:ascii="Times New Roman" w:hAnsi="Times New Roman"/>
                <w:szCs w:val="21"/>
              </w:rPr>
              <w:t>时，不安装隔声装置，得</w:t>
            </w:r>
            <w:r>
              <w:rPr>
                <w:rFonts w:ascii="Times New Roman" w:hAnsi="Times New Roman"/>
                <w:szCs w:val="21"/>
              </w:rPr>
              <w:t>2</w:t>
            </w:r>
            <w:r>
              <w:rPr>
                <w:rFonts w:hint="eastAsia" w:ascii="Times New Roman" w:hAnsi="Times New Roman"/>
                <w:szCs w:val="21"/>
              </w:rPr>
              <w:t>分。</w:t>
            </w:r>
          </w:p>
        </w:tc>
        <w:tc>
          <w:tcPr>
            <w:tcW w:w="802" w:type="dxa"/>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024" w:hRule="atLeast"/>
          <w:jc w:val="center"/>
        </w:trPr>
        <w:tc>
          <w:tcPr>
            <w:tcW w:w="762" w:type="dxa"/>
            <w:vMerge w:val="restart"/>
            <w:shd w:val="clear" w:color="auto" w:fill="D8D8D8"/>
            <w:noWrap w:val="0"/>
            <w:vAlign w:val="center"/>
          </w:tcPr>
          <w:p>
            <w:pPr>
              <w:spacing w:before="93" w:beforeLines="30" w:after="93" w:afterLines="30"/>
              <w:jc w:val="center"/>
              <w:rPr>
                <w:rFonts w:ascii="Times New Roman" w:hAnsi="Times New Roman"/>
                <w:b/>
                <w:bCs/>
                <w:szCs w:val="21"/>
              </w:rPr>
            </w:pPr>
            <w:r>
              <w:rPr>
                <w:rFonts w:hint="eastAsia" w:ascii="Times New Roman" w:hAnsi="Times New Roman"/>
                <w:b/>
                <w:bCs/>
                <w:szCs w:val="21"/>
              </w:rPr>
              <w:t>控</w:t>
            </w:r>
          </w:p>
          <w:p>
            <w:pPr>
              <w:spacing w:before="93" w:beforeLines="30" w:after="93" w:afterLines="30"/>
              <w:jc w:val="center"/>
              <w:rPr>
                <w:rFonts w:ascii="Times New Roman" w:hAnsi="Times New Roman"/>
                <w:b/>
                <w:bCs/>
                <w:szCs w:val="21"/>
              </w:rPr>
            </w:pPr>
            <w:r>
              <w:rPr>
                <w:rFonts w:hint="eastAsia" w:ascii="Times New Roman" w:hAnsi="Times New Roman"/>
                <w:b/>
                <w:bCs/>
                <w:szCs w:val="21"/>
              </w:rPr>
              <w:t>制</w:t>
            </w:r>
          </w:p>
          <w:p>
            <w:pPr>
              <w:spacing w:before="93" w:beforeLines="30" w:after="93" w:afterLines="30"/>
              <w:jc w:val="center"/>
              <w:rPr>
                <w:rFonts w:ascii="Times New Roman" w:hAnsi="Times New Roman"/>
                <w:b/>
                <w:bCs/>
                <w:szCs w:val="21"/>
              </w:rPr>
            </w:pPr>
            <w:r>
              <w:rPr>
                <w:rFonts w:hint="eastAsia" w:ascii="Times New Roman" w:hAnsi="Times New Roman"/>
                <w:b/>
                <w:bCs/>
                <w:szCs w:val="21"/>
              </w:rPr>
              <w:t>要</w:t>
            </w:r>
          </w:p>
          <w:p>
            <w:pPr>
              <w:spacing w:before="93" w:beforeLines="30" w:after="93" w:afterLines="30"/>
              <w:jc w:val="center"/>
              <w:rPr>
                <w:rFonts w:hint="eastAsia" w:ascii="Times New Roman" w:hAnsi="Times New Roman"/>
                <w:b/>
                <w:bCs/>
                <w:szCs w:val="21"/>
              </w:rPr>
            </w:pPr>
            <w:r>
              <w:rPr>
                <w:rFonts w:hint="eastAsia" w:ascii="Times New Roman" w:hAnsi="Times New Roman"/>
                <w:b/>
                <w:bCs/>
                <w:szCs w:val="21"/>
              </w:rPr>
              <w:t>求</w:t>
            </w: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hint="eastAsia" w:ascii="Times New Roman" w:hAnsi="Times New Roman"/>
                <w:b/>
                <w:bCs/>
                <w:szCs w:val="21"/>
              </w:rPr>
            </w:pPr>
          </w:p>
          <w:p>
            <w:pPr>
              <w:spacing w:before="93" w:beforeLines="30" w:after="93" w:afterLines="30"/>
              <w:jc w:val="center"/>
              <w:rPr>
                <w:rFonts w:ascii="Times New Roman" w:hAnsi="Times New Roman"/>
                <w:b/>
                <w:bCs/>
                <w:szCs w:val="21"/>
              </w:rPr>
            </w:pPr>
            <w:r>
              <w:rPr>
                <w:rFonts w:hint="eastAsia" w:ascii="Times New Roman" w:hAnsi="Times New Roman"/>
                <w:b/>
                <w:bCs/>
                <w:szCs w:val="21"/>
              </w:rPr>
              <w:t>控</w:t>
            </w:r>
          </w:p>
          <w:p>
            <w:pPr>
              <w:spacing w:before="93" w:beforeLines="30" w:after="93" w:afterLines="30"/>
              <w:jc w:val="center"/>
              <w:rPr>
                <w:rFonts w:ascii="Times New Roman" w:hAnsi="Times New Roman"/>
                <w:b/>
                <w:bCs/>
                <w:szCs w:val="21"/>
              </w:rPr>
            </w:pPr>
            <w:r>
              <w:rPr>
                <w:rFonts w:hint="eastAsia" w:ascii="Times New Roman" w:hAnsi="Times New Roman"/>
                <w:b/>
                <w:bCs/>
                <w:szCs w:val="21"/>
              </w:rPr>
              <w:t>制</w:t>
            </w:r>
          </w:p>
          <w:p>
            <w:pPr>
              <w:spacing w:before="93" w:beforeLines="30" w:after="93" w:afterLines="30"/>
              <w:jc w:val="center"/>
              <w:rPr>
                <w:rFonts w:ascii="Times New Roman" w:hAnsi="Times New Roman"/>
                <w:b/>
                <w:bCs/>
                <w:szCs w:val="21"/>
              </w:rPr>
            </w:pPr>
            <w:r>
              <w:rPr>
                <w:rFonts w:hint="eastAsia" w:ascii="Times New Roman" w:hAnsi="Times New Roman"/>
                <w:b/>
                <w:bCs/>
                <w:szCs w:val="21"/>
              </w:rPr>
              <w:t>要</w:t>
            </w:r>
          </w:p>
          <w:p>
            <w:pPr>
              <w:spacing w:before="93" w:beforeLines="30" w:after="93" w:afterLines="30"/>
              <w:jc w:val="center"/>
              <w:rPr>
                <w:rFonts w:ascii="Times New Roman" w:hAnsi="Times New Roman"/>
                <w:szCs w:val="21"/>
              </w:rPr>
            </w:pPr>
            <w:r>
              <w:rPr>
                <w:rFonts w:hint="eastAsia" w:ascii="Times New Roman" w:hAnsi="Times New Roman"/>
                <w:b/>
                <w:bCs/>
                <w:szCs w:val="21"/>
              </w:rPr>
              <w:t>求</w:t>
            </w:r>
          </w:p>
        </w:tc>
        <w:tc>
          <w:tcPr>
            <w:tcW w:w="750" w:type="dxa"/>
            <w:shd w:val="clear" w:color="auto" w:fill="D8D8D8"/>
            <w:noWrap w:val="0"/>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控</w:t>
            </w:r>
          </w:p>
          <w:p>
            <w:pPr>
              <w:spacing w:before="93" w:beforeLines="30" w:after="93" w:afterLines="30"/>
              <w:jc w:val="center"/>
              <w:rPr>
                <w:rFonts w:ascii="Times New Roman" w:hAnsi="Times New Roman"/>
                <w:szCs w:val="21"/>
              </w:rPr>
            </w:pPr>
            <w:r>
              <w:rPr>
                <w:rFonts w:hint="eastAsia" w:ascii="Times New Roman" w:hAnsi="Times New Roman"/>
                <w:szCs w:val="21"/>
              </w:rPr>
              <w:t>制</w:t>
            </w:r>
          </w:p>
          <w:p>
            <w:pPr>
              <w:spacing w:before="93" w:beforeLines="30" w:after="93" w:afterLines="30"/>
              <w:jc w:val="center"/>
              <w:rPr>
                <w:rFonts w:ascii="Times New Roman" w:hAnsi="Times New Roman"/>
                <w:szCs w:val="21"/>
              </w:rPr>
            </w:pPr>
            <w:r>
              <w:rPr>
                <w:rFonts w:hint="eastAsia" w:ascii="Times New Roman" w:hAnsi="Times New Roman"/>
                <w:szCs w:val="21"/>
              </w:rPr>
              <w:t>项</w:t>
            </w:r>
          </w:p>
        </w:tc>
        <w:tc>
          <w:tcPr>
            <w:tcW w:w="567" w:type="dxa"/>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5</w:t>
            </w:r>
          </w:p>
        </w:tc>
        <w:tc>
          <w:tcPr>
            <w:tcW w:w="1366" w:type="dxa"/>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废弃物排放</w:t>
            </w:r>
          </w:p>
        </w:tc>
        <w:tc>
          <w:tcPr>
            <w:tcW w:w="700" w:type="dxa"/>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5</w:t>
            </w:r>
          </w:p>
        </w:tc>
        <w:tc>
          <w:tcPr>
            <w:tcW w:w="4087" w:type="dxa"/>
            <w:gridSpan w:val="2"/>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不向厂区以外直接排放生产废水、废浆和废弃混凝土，得</w:t>
            </w:r>
            <w:r>
              <w:rPr>
                <w:rFonts w:ascii="Times New Roman" w:hAnsi="Times New Roman"/>
                <w:b/>
                <w:bCs/>
                <w:szCs w:val="21"/>
              </w:rPr>
              <w:t>5</w:t>
            </w:r>
            <w:r>
              <w:rPr>
                <w:rFonts w:hint="eastAsia" w:ascii="Times New Roman" w:hAnsi="Times New Roman"/>
                <w:szCs w:val="21"/>
              </w:rPr>
              <w:t>分。</w:t>
            </w:r>
          </w:p>
        </w:tc>
        <w:tc>
          <w:tcPr>
            <w:tcW w:w="802" w:type="dxa"/>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75"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restart"/>
            <w:shd w:val="clear" w:color="auto" w:fill="D8D8D8"/>
            <w:noWrap w:val="0"/>
            <w:vAlign w:val="center"/>
          </w:tcPr>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hint="eastAsia" w:ascii="Times New Roman" w:hAnsi="Times New Roman"/>
                <w:szCs w:val="21"/>
              </w:rPr>
            </w:pPr>
          </w:p>
          <w:p>
            <w:pPr>
              <w:spacing w:before="93" w:beforeLines="30" w:after="93" w:afterLines="30"/>
              <w:jc w:val="center"/>
              <w:rPr>
                <w:rFonts w:ascii="Times New Roman" w:hAnsi="Times New Roman"/>
                <w:szCs w:val="21"/>
              </w:rPr>
            </w:pPr>
            <w:r>
              <w:rPr>
                <w:rFonts w:hint="eastAsia" w:ascii="Times New Roman" w:hAnsi="Times New Roman"/>
                <w:szCs w:val="21"/>
              </w:rPr>
              <w:t>一</w:t>
            </w:r>
          </w:p>
          <w:p>
            <w:pPr>
              <w:spacing w:before="93" w:beforeLines="30" w:after="93" w:afterLines="30"/>
              <w:jc w:val="center"/>
              <w:rPr>
                <w:rFonts w:ascii="Times New Roman" w:hAnsi="Times New Roman"/>
                <w:szCs w:val="21"/>
              </w:rPr>
            </w:pPr>
            <w:r>
              <w:rPr>
                <w:rFonts w:hint="eastAsia" w:ascii="Times New Roman" w:hAnsi="Times New Roman"/>
                <w:szCs w:val="21"/>
              </w:rPr>
              <w:t>般</w:t>
            </w:r>
          </w:p>
          <w:p>
            <w:pPr>
              <w:spacing w:before="93" w:beforeLines="30" w:after="93" w:afterLines="30"/>
              <w:jc w:val="center"/>
              <w:rPr>
                <w:rFonts w:ascii="Times New Roman" w:hAnsi="Times New Roman"/>
                <w:szCs w:val="21"/>
              </w:rPr>
            </w:pPr>
            <w:r>
              <w:rPr>
                <w:rFonts w:hint="eastAsia" w:ascii="Times New Roman" w:hAnsi="Times New Roman"/>
                <w:szCs w:val="21"/>
              </w:rPr>
              <w:t>项</w:t>
            </w:r>
          </w:p>
        </w:tc>
        <w:tc>
          <w:tcPr>
            <w:tcW w:w="567" w:type="dxa"/>
            <w:vMerge w:val="restart"/>
            <w:noWrap w:val="0"/>
            <w:vAlign w:val="center"/>
          </w:tcPr>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r>
              <w:rPr>
                <w:rFonts w:ascii="Times New Roman" w:hAnsi="Times New Roman"/>
                <w:szCs w:val="21"/>
              </w:rPr>
              <w:t>25</w:t>
            </w:r>
          </w:p>
        </w:tc>
        <w:tc>
          <w:tcPr>
            <w:tcW w:w="1366" w:type="dxa"/>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环境噪声控制</w:t>
            </w:r>
          </w:p>
        </w:tc>
        <w:tc>
          <w:tcPr>
            <w:tcW w:w="700" w:type="dxa"/>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5</w:t>
            </w:r>
          </w:p>
        </w:tc>
        <w:tc>
          <w:tcPr>
            <w:tcW w:w="4087" w:type="dxa"/>
            <w:gridSpan w:val="2"/>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第三方监测的厂界声环境噪声限值符合本规程表</w:t>
            </w:r>
            <w:r>
              <w:rPr>
                <w:rFonts w:ascii="Times New Roman" w:hAnsi="Times New Roman"/>
                <w:szCs w:val="21"/>
              </w:rPr>
              <w:t>5.4.2</w:t>
            </w:r>
            <w:r>
              <w:rPr>
                <w:rFonts w:hint="eastAsia" w:ascii="Times New Roman" w:hAnsi="Times New Roman"/>
                <w:szCs w:val="21"/>
              </w:rPr>
              <w:t>的规定，得</w:t>
            </w:r>
            <w:r>
              <w:rPr>
                <w:rFonts w:ascii="Times New Roman" w:hAnsi="Times New Roman"/>
                <w:b/>
                <w:bCs/>
                <w:szCs w:val="21"/>
              </w:rPr>
              <w:t>5</w:t>
            </w:r>
            <w:r>
              <w:rPr>
                <w:rFonts w:hint="eastAsia" w:ascii="Times New Roman" w:hAnsi="Times New Roman"/>
                <w:szCs w:val="21"/>
              </w:rPr>
              <w:t>分。</w:t>
            </w:r>
          </w:p>
        </w:tc>
        <w:tc>
          <w:tcPr>
            <w:tcW w:w="802" w:type="dxa"/>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001"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生产性粉尘控制</w:t>
            </w:r>
          </w:p>
        </w:tc>
        <w:tc>
          <w:tcPr>
            <w:tcW w:w="700" w:type="dxa"/>
            <w:vMerge w:val="restart"/>
            <w:noWrap w:val="0"/>
            <w:vAlign w:val="center"/>
          </w:tcPr>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r>
              <w:rPr>
                <w:rFonts w:ascii="Times New Roman" w:hAnsi="Times New Roman"/>
                <w:szCs w:val="21"/>
              </w:rPr>
              <w:t>7</w:t>
            </w:r>
          </w:p>
        </w:tc>
        <w:tc>
          <w:tcPr>
            <w:tcW w:w="4087" w:type="dxa"/>
            <w:gridSpan w:val="2"/>
            <w:noWrap w:val="0"/>
            <w:vAlign w:val="center"/>
          </w:tcPr>
          <w:p>
            <w:pPr>
              <w:numPr>
                <w:ilvl w:val="0"/>
                <w:numId w:val="8"/>
              </w:numPr>
              <w:spacing w:before="93" w:beforeLines="30" w:after="93" w:afterLines="30"/>
              <w:jc w:val="left"/>
              <w:rPr>
                <w:rFonts w:ascii="Times New Roman" w:hAnsi="Times New Roman"/>
                <w:szCs w:val="21"/>
              </w:rPr>
            </w:pPr>
            <w:r>
              <w:rPr>
                <w:rFonts w:hint="eastAsia" w:ascii="Times New Roman" w:hAnsi="Times New Roman"/>
                <w:szCs w:val="21"/>
              </w:rPr>
              <w:t>第三方监测的厂界环境空气污染物中的总悬浮颗粒物，可吸入颗粒物和细颗粒物的浓度符合本规程表</w:t>
            </w:r>
            <w:r>
              <w:rPr>
                <w:rFonts w:ascii="Times New Roman" w:hAnsi="Times New Roman"/>
                <w:szCs w:val="21"/>
              </w:rPr>
              <w:t>5.5.2</w:t>
            </w:r>
            <w:r>
              <w:rPr>
                <w:rFonts w:hint="eastAsia" w:ascii="Times New Roman" w:hAnsi="Times New Roman"/>
                <w:szCs w:val="21"/>
              </w:rPr>
              <w:t>中浓度限值的规定，得</w:t>
            </w:r>
            <w:r>
              <w:rPr>
                <w:rFonts w:ascii="Times New Roman" w:hAnsi="Times New Roman"/>
                <w:b/>
                <w:bCs/>
                <w:szCs w:val="21"/>
              </w:rPr>
              <w:t>4</w:t>
            </w:r>
            <w:r>
              <w:rPr>
                <w:rFonts w:hint="eastAsia" w:ascii="Times New Roman" w:hAnsi="Times New Roman"/>
                <w:szCs w:val="21"/>
              </w:rPr>
              <w:t>分；</w:t>
            </w:r>
          </w:p>
        </w:tc>
        <w:tc>
          <w:tcPr>
            <w:tcW w:w="802" w:type="dxa"/>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37"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left"/>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2.</w:t>
            </w:r>
            <w:r>
              <w:rPr>
                <w:rFonts w:hint="eastAsia" w:ascii="Times New Roman" w:hAnsi="Times New Roman"/>
                <w:szCs w:val="21"/>
              </w:rPr>
              <w:t>厂区无组织排放总悬浮颗粒物的</w:t>
            </w:r>
            <w:r>
              <w:rPr>
                <w:rFonts w:ascii="Times New Roman" w:hAnsi="Times New Roman"/>
                <w:szCs w:val="21"/>
              </w:rPr>
              <w:t>1h</w:t>
            </w:r>
            <w:r>
              <w:rPr>
                <w:rFonts w:hint="eastAsia" w:ascii="Times New Roman" w:hAnsi="Times New Roman"/>
                <w:szCs w:val="21"/>
              </w:rPr>
              <w:t>平均浓度限值符合本规程第</w:t>
            </w:r>
            <w:r>
              <w:rPr>
                <w:rFonts w:ascii="Times New Roman" w:hAnsi="Times New Roman"/>
                <w:szCs w:val="21"/>
              </w:rPr>
              <w:t>5.5.3</w:t>
            </w:r>
            <w:r>
              <w:rPr>
                <w:rFonts w:hint="eastAsia" w:ascii="Times New Roman" w:hAnsi="Times New Roman"/>
                <w:szCs w:val="21"/>
              </w:rPr>
              <w:t>条规定，得</w:t>
            </w:r>
            <w:r>
              <w:rPr>
                <w:rFonts w:ascii="Times New Roman" w:hAnsi="Times New Roman"/>
                <w:b/>
                <w:bCs/>
                <w:szCs w:val="21"/>
              </w:rPr>
              <w:t>3</w:t>
            </w:r>
            <w:r>
              <w:rPr>
                <w:rFonts w:hint="eastAsia" w:ascii="Times New Roman" w:hAnsi="Times New Roman"/>
                <w:szCs w:val="21"/>
              </w:rPr>
              <w:t>分。</w:t>
            </w:r>
          </w:p>
        </w:tc>
        <w:tc>
          <w:tcPr>
            <w:tcW w:w="802" w:type="dxa"/>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46"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left"/>
              <w:rPr>
                <w:rFonts w:ascii="Times New Roman" w:hAnsi="Times New Roman"/>
                <w:szCs w:val="21"/>
              </w:rPr>
            </w:pPr>
          </w:p>
        </w:tc>
        <w:tc>
          <w:tcPr>
            <w:tcW w:w="1366" w:type="dxa"/>
            <w:vMerge w:val="restart"/>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生产废水利用</w:t>
            </w:r>
          </w:p>
        </w:tc>
        <w:tc>
          <w:tcPr>
            <w:tcW w:w="700"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3</w:t>
            </w:r>
          </w:p>
        </w:tc>
        <w:tc>
          <w:tcPr>
            <w:tcW w:w="4087" w:type="dxa"/>
            <w:gridSpan w:val="2"/>
            <w:noWrap w:val="0"/>
            <w:vAlign w:val="center"/>
          </w:tcPr>
          <w:p>
            <w:pPr>
              <w:numPr>
                <w:ilvl w:val="0"/>
                <w:numId w:val="9"/>
              </w:numPr>
              <w:spacing w:before="93" w:beforeLines="30" w:after="93" w:afterLines="30"/>
              <w:jc w:val="left"/>
              <w:rPr>
                <w:rFonts w:ascii="Times New Roman" w:hAnsi="Times New Roman"/>
                <w:szCs w:val="21"/>
              </w:rPr>
            </w:pPr>
            <w:r>
              <w:rPr>
                <w:rFonts w:hint="eastAsia" w:ascii="Times New Roman" w:hAnsi="Times New Roman"/>
                <w:szCs w:val="21"/>
              </w:rPr>
              <w:t>沉淀或压滤处理的生产废水用作混凝土拌合用水并符合本规程第</w:t>
            </w:r>
            <w:r>
              <w:rPr>
                <w:rFonts w:ascii="Times New Roman" w:hAnsi="Times New Roman"/>
                <w:szCs w:val="21"/>
              </w:rPr>
              <w:t>5.2.3</w:t>
            </w:r>
            <w:r>
              <w:rPr>
                <w:rFonts w:hint="eastAsia" w:ascii="Times New Roman" w:hAnsi="Times New Roman"/>
                <w:szCs w:val="21"/>
              </w:rPr>
              <w:t>条的规定，得</w:t>
            </w:r>
            <w:r>
              <w:rPr>
                <w:rFonts w:ascii="Times New Roman" w:hAnsi="Times New Roman"/>
                <w:b/>
                <w:bCs/>
                <w:szCs w:val="21"/>
              </w:rPr>
              <w:t>3</w:t>
            </w:r>
            <w:r>
              <w:rPr>
                <w:rFonts w:hint="eastAsia" w:ascii="Times New Roman" w:hAnsi="Times New Roman"/>
                <w:szCs w:val="21"/>
              </w:rPr>
              <w:t>分；</w:t>
            </w:r>
          </w:p>
        </w:tc>
        <w:tc>
          <w:tcPr>
            <w:tcW w:w="802" w:type="dxa"/>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34"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2.</w:t>
            </w:r>
            <w:r>
              <w:rPr>
                <w:rFonts w:hint="eastAsia" w:ascii="Times New Roman" w:hAnsi="Times New Roman"/>
                <w:szCs w:val="21"/>
              </w:rPr>
              <w:t>沉淀或压滤处理的生产废水完全循环用于硬化地面降尘、生产设备和运输车辆冲洗时，得</w:t>
            </w:r>
            <w:r>
              <w:rPr>
                <w:rFonts w:ascii="Times New Roman" w:hAnsi="Times New Roman"/>
                <w:b/>
                <w:bCs/>
                <w:szCs w:val="21"/>
              </w:rPr>
              <w:t>3</w:t>
            </w:r>
            <w:r>
              <w:rPr>
                <w:rFonts w:hint="eastAsia" w:ascii="Times New Roman" w:hAnsi="Times New Roman"/>
                <w:szCs w:val="21"/>
              </w:rPr>
              <w:t>分。</w:t>
            </w:r>
          </w:p>
        </w:tc>
        <w:tc>
          <w:tcPr>
            <w:tcW w:w="802" w:type="dxa"/>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1"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废浆处置和利用</w:t>
            </w:r>
          </w:p>
        </w:tc>
        <w:tc>
          <w:tcPr>
            <w:tcW w:w="700"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2</w:t>
            </w:r>
          </w:p>
        </w:tc>
        <w:tc>
          <w:tcPr>
            <w:tcW w:w="4087" w:type="dxa"/>
            <w:gridSpan w:val="2"/>
            <w:noWrap w:val="0"/>
            <w:vAlign w:val="center"/>
          </w:tcPr>
          <w:p>
            <w:pPr>
              <w:numPr>
                <w:ilvl w:val="0"/>
                <w:numId w:val="10"/>
              </w:numPr>
              <w:spacing w:before="93" w:beforeLines="30" w:after="93" w:afterLines="30"/>
              <w:jc w:val="left"/>
              <w:rPr>
                <w:rFonts w:ascii="Times New Roman" w:hAnsi="Times New Roman"/>
                <w:szCs w:val="21"/>
              </w:rPr>
            </w:pPr>
            <w:r>
              <w:rPr>
                <w:rFonts w:hint="eastAsia" w:ascii="Times New Roman" w:hAnsi="Times New Roman"/>
                <w:szCs w:val="21"/>
              </w:rPr>
              <w:t>利用压滤机处置废浆并做无害化处理，且有应用证明，得</w:t>
            </w:r>
            <w:r>
              <w:rPr>
                <w:rFonts w:ascii="Times New Roman" w:hAnsi="Times New Roman"/>
                <w:b/>
                <w:bCs/>
                <w:szCs w:val="21"/>
              </w:rPr>
              <w:t>2</w:t>
            </w:r>
            <w:r>
              <w:rPr>
                <w:rFonts w:hint="eastAsia" w:ascii="Times New Roman" w:hAnsi="Times New Roman"/>
                <w:szCs w:val="21"/>
              </w:rPr>
              <w:t>分；</w:t>
            </w:r>
          </w:p>
        </w:tc>
        <w:tc>
          <w:tcPr>
            <w:tcW w:w="802" w:type="dxa"/>
            <w:vMerge w:val="restart"/>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17"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2.</w:t>
            </w:r>
            <w:r>
              <w:rPr>
                <w:rFonts w:hint="eastAsia" w:ascii="Times New Roman" w:hAnsi="Times New Roman"/>
                <w:szCs w:val="21"/>
              </w:rPr>
              <w:t>或者废浆直接用于预拌混凝土生产并符合本规程第</w:t>
            </w:r>
            <w:r>
              <w:rPr>
                <w:rFonts w:ascii="Times New Roman" w:hAnsi="Times New Roman"/>
                <w:szCs w:val="21"/>
              </w:rPr>
              <w:t>5.2.4</w:t>
            </w:r>
            <w:r>
              <w:rPr>
                <w:rFonts w:hint="eastAsia" w:ascii="Times New Roman" w:hAnsi="Times New Roman"/>
                <w:szCs w:val="21"/>
              </w:rPr>
              <w:t>条的规定，得</w:t>
            </w:r>
            <w:r>
              <w:rPr>
                <w:rFonts w:ascii="Times New Roman" w:hAnsi="Times New Roman"/>
                <w:b/>
                <w:bCs/>
                <w:szCs w:val="21"/>
              </w:rPr>
              <w:t>2</w:t>
            </w:r>
            <w:r>
              <w:rPr>
                <w:rFonts w:hint="eastAsia" w:ascii="Times New Roman" w:hAnsi="Times New Roman"/>
                <w:szCs w:val="21"/>
              </w:rPr>
              <w:t>分。</w:t>
            </w:r>
          </w:p>
        </w:tc>
        <w:tc>
          <w:tcPr>
            <w:tcW w:w="802" w:type="dxa"/>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8"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废弃混凝土利用</w:t>
            </w:r>
          </w:p>
        </w:tc>
        <w:tc>
          <w:tcPr>
            <w:tcW w:w="700"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2</w:t>
            </w: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1.</w:t>
            </w:r>
            <w:r>
              <w:rPr>
                <w:rFonts w:hint="eastAsia" w:ascii="Times New Roman" w:hAnsi="Times New Roman"/>
                <w:szCs w:val="21"/>
              </w:rPr>
              <w:t>利用废弃新拌混凝土成型小型预制构件且利用率不低于</w:t>
            </w:r>
            <w:r>
              <w:rPr>
                <w:rFonts w:ascii="Times New Roman" w:hAnsi="Times New Roman"/>
                <w:szCs w:val="21"/>
              </w:rPr>
              <w:t>90%</w:t>
            </w:r>
            <w:r>
              <w:rPr>
                <w:rFonts w:hint="eastAsia" w:ascii="Times New Roman" w:hAnsi="Times New Roman"/>
                <w:szCs w:val="21"/>
              </w:rPr>
              <w:t>，得</w:t>
            </w:r>
            <w:r>
              <w:rPr>
                <w:rFonts w:ascii="Times New Roman" w:hAnsi="Times New Roman"/>
                <w:b/>
                <w:bCs/>
                <w:szCs w:val="21"/>
              </w:rPr>
              <w:t>1</w:t>
            </w:r>
            <w:r>
              <w:rPr>
                <w:rFonts w:hint="eastAsia" w:ascii="Times New Roman" w:hAnsi="Times New Roman"/>
                <w:szCs w:val="21"/>
              </w:rPr>
              <w:t>分；</w:t>
            </w:r>
          </w:p>
        </w:tc>
        <w:tc>
          <w:tcPr>
            <w:tcW w:w="802" w:type="dxa"/>
            <w:vMerge w:val="restart"/>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60"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2.</w:t>
            </w:r>
            <w:r>
              <w:rPr>
                <w:rFonts w:hint="eastAsia" w:ascii="Times New Roman" w:hAnsi="Times New Roman"/>
                <w:szCs w:val="21"/>
              </w:rPr>
              <w:t>或者废弃新拌混凝土经砂石分离机分离生产砂石且砂石利用率不低于</w:t>
            </w:r>
            <w:r>
              <w:rPr>
                <w:rFonts w:ascii="Times New Roman" w:hAnsi="Times New Roman"/>
                <w:szCs w:val="21"/>
              </w:rPr>
              <w:t>90%</w:t>
            </w:r>
            <w:r>
              <w:rPr>
                <w:rFonts w:hint="eastAsia" w:ascii="Times New Roman" w:hAnsi="Times New Roman"/>
                <w:szCs w:val="21"/>
              </w:rPr>
              <w:t>，得</w:t>
            </w:r>
            <w:r>
              <w:rPr>
                <w:rFonts w:ascii="Times New Roman" w:hAnsi="Times New Roman"/>
                <w:b/>
                <w:bCs/>
                <w:szCs w:val="21"/>
              </w:rPr>
              <w:t>1</w:t>
            </w:r>
            <w:r>
              <w:rPr>
                <w:rFonts w:hint="eastAsia" w:ascii="Times New Roman" w:hAnsi="Times New Roman"/>
                <w:szCs w:val="21"/>
              </w:rPr>
              <w:t>分；</w:t>
            </w:r>
          </w:p>
        </w:tc>
        <w:tc>
          <w:tcPr>
            <w:tcW w:w="802" w:type="dxa"/>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65"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3.</w:t>
            </w:r>
            <w:r>
              <w:rPr>
                <w:rFonts w:hint="eastAsia" w:ascii="Times New Roman" w:hAnsi="Times New Roman"/>
                <w:szCs w:val="21"/>
              </w:rPr>
              <w:t>当循环利用硬化混凝土时，由固体废弃物再生利用机构消纳利用并有相关证明材料。得</w:t>
            </w:r>
            <w:r>
              <w:rPr>
                <w:rFonts w:ascii="Times New Roman" w:hAnsi="Times New Roman"/>
                <w:b/>
                <w:bCs/>
                <w:szCs w:val="21"/>
              </w:rPr>
              <w:t>1</w:t>
            </w:r>
            <w:r>
              <w:rPr>
                <w:rFonts w:hint="eastAsia" w:ascii="Times New Roman" w:hAnsi="Times New Roman"/>
                <w:szCs w:val="21"/>
              </w:rPr>
              <w:t>分；</w:t>
            </w:r>
          </w:p>
        </w:tc>
        <w:tc>
          <w:tcPr>
            <w:tcW w:w="802" w:type="dxa"/>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49"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4.</w:t>
            </w:r>
            <w:r>
              <w:rPr>
                <w:rFonts w:hint="eastAsia" w:ascii="Times New Roman" w:hAnsi="Times New Roman"/>
                <w:szCs w:val="21"/>
              </w:rPr>
              <w:t>由混凝土生产商自己生产再生骨料和粉料消纳利用，得</w:t>
            </w:r>
            <w:r>
              <w:rPr>
                <w:rFonts w:ascii="Times New Roman" w:hAnsi="Times New Roman"/>
                <w:b/>
                <w:bCs/>
                <w:szCs w:val="21"/>
              </w:rPr>
              <w:t>1</w:t>
            </w:r>
            <w:r>
              <w:rPr>
                <w:rFonts w:hint="eastAsia" w:ascii="Times New Roman" w:hAnsi="Times New Roman"/>
                <w:szCs w:val="21"/>
              </w:rPr>
              <w:t>分。</w:t>
            </w:r>
          </w:p>
        </w:tc>
        <w:tc>
          <w:tcPr>
            <w:tcW w:w="802" w:type="dxa"/>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85"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运输管理</w:t>
            </w:r>
          </w:p>
        </w:tc>
        <w:tc>
          <w:tcPr>
            <w:tcW w:w="700"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3</w:t>
            </w:r>
          </w:p>
        </w:tc>
        <w:tc>
          <w:tcPr>
            <w:tcW w:w="4087" w:type="dxa"/>
            <w:gridSpan w:val="2"/>
            <w:noWrap w:val="0"/>
            <w:vAlign w:val="center"/>
          </w:tcPr>
          <w:p>
            <w:pPr>
              <w:numPr>
                <w:ilvl w:val="0"/>
                <w:numId w:val="11"/>
              </w:numPr>
              <w:spacing w:before="93" w:beforeLines="30" w:after="93" w:afterLines="30"/>
              <w:jc w:val="left"/>
              <w:rPr>
                <w:rFonts w:ascii="Times New Roman" w:hAnsi="Times New Roman"/>
                <w:szCs w:val="21"/>
              </w:rPr>
            </w:pPr>
            <w:r>
              <w:rPr>
                <w:rFonts w:hint="eastAsia" w:ascii="Times New Roman" w:hAnsi="Times New Roman"/>
                <w:szCs w:val="21"/>
              </w:rPr>
              <w:t>采用定位系统监控车辆运行，得</w:t>
            </w:r>
            <w:r>
              <w:rPr>
                <w:rFonts w:ascii="Times New Roman" w:hAnsi="Times New Roman"/>
                <w:b/>
                <w:bCs/>
                <w:szCs w:val="21"/>
              </w:rPr>
              <w:t>1</w:t>
            </w:r>
            <w:r>
              <w:rPr>
                <w:rFonts w:hint="eastAsia" w:ascii="Times New Roman" w:hAnsi="Times New Roman"/>
                <w:szCs w:val="21"/>
              </w:rPr>
              <w:t>分；</w:t>
            </w:r>
          </w:p>
        </w:tc>
        <w:tc>
          <w:tcPr>
            <w:tcW w:w="802" w:type="dxa"/>
            <w:vMerge w:val="restart"/>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7"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2.</w:t>
            </w:r>
            <w:r>
              <w:rPr>
                <w:rFonts w:hint="eastAsia" w:ascii="Times New Roman" w:hAnsi="Times New Roman"/>
                <w:szCs w:val="21"/>
              </w:rPr>
              <w:t>运输车达到当地机动车污染排放标准要求并定期保养，得</w:t>
            </w:r>
            <w:r>
              <w:rPr>
                <w:rFonts w:ascii="Times New Roman" w:hAnsi="Times New Roman"/>
                <w:b/>
                <w:bCs/>
                <w:szCs w:val="21"/>
              </w:rPr>
              <w:t>2</w:t>
            </w:r>
            <w:r>
              <w:rPr>
                <w:rFonts w:hint="eastAsia" w:ascii="Times New Roman" w:hAnsi="Times New Roman"/>
                <w:szCs w:val="21"/>
              </w:rPr>
              <w:t>分。</w:t>
            </w:r>
          </w:p>
        </w:tc>
        <w:tc>
          <w:tcPr>
            <w:tcW w:w="802" w:type="dxa"/>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39"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职业健康安全管理</w:t>
            </w:r>
          </w:p>
        </w:tc>
        <w:tc>
          <w:tcPr>
            <w:tcW w:w="700"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3</w:t>
            </w:r>
          </w:p>
        </w:tc>
        <w:tc>
          <w:tcPr>
            <w:tcW w:w="4087" w:type="dxa"/>
            <w:gridSpan w:val="2"/>
            <w:noWrap w:val="0"/>
            <w:vAlign w:val="center"/>
          </w:tcPr>
          <w:p>
            <w:pPr>
              <w:numPr>
                <w:ilvl w:val="0"/>
                <w:numId w:val="12"/>
              </w:numPr>
              <w:spacing w:before="93" w:beforeLines="30" w:after="93" w:afterLines="30"/>
              <w:jc w:val="left"/>
              <w:rPr>
                <w:rFonts w:ascii="Times New Roman" w:hAnsi="Times New Roman"/>
                <w:szCs w:val="21"/>
              </w:rPr>
            </w:pPr>
            <w:r>
              <w:rPr>
                <w:rFonts w:hint="eastAsia" w:ascii="Times New Roman" w:hAnsi="Times New Roman"/>
                <w:szCs w:val="21"/>
              </w:rPr>
              <w:t>每年度组织不少于一次的全员安全培训，得</w:t>
            </w:r>
            <w:r>
              <w:rPr>
                <w:rFonts w:ascii="Times New Roman" w:hAnsi="Times New Roman"/>
                <w:b/>
                <w:bCs/>
                <w:szCs w:val="21"/>
              </w:rPr>
              <w:t>1</w:t>
            </w:r>
            <w:r>
              <w:rPr>
                <w:rFonts w:hint="eastAsia" w:ascii="Times New Roman" w:hAnsi="Times New Roman"/>
                <w:szCs w:val="21"/>
              </w:rPr>
              <w:t>分；</w:t>
            </w:r>
          </w:p>
        </w:tc>
        <w:tc>
          <w:tcPr>
            <w:tcW w:w="802" w:type="dxa"/>
            <w:vMerge w:val="restart"/>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23"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numPr>
                <w:ilvl w:val="0"/>
                <w:numId w:val="12"/>
              </w:numPr>
              <w:spacing w:before="93" w:beforeLines="30" w:after="93" w:afterLines="30"/>
              <w:jc w:val="left"/>
              <w:rPr>
                <w:rFonts w:ascii="Times New Roman" w:hAnsi="Times New Roman"/>
                <w:szCs w:val="21"/>
              </w:rPr>
            </w:pPr>
            <w:r>
              <w:rPr>
                <w:rFonts w:hint="eastAsia" w:ascii="Times New Roman" w:hAnsi="Times New Roman"/>
                <w:szCs w:val="21"/>
              </w:rPr>
              <w:t>在生产区内噪声、粉尘污染较重的场所，工作人员佩戴相应的防护器具，得</w:t>
            </w:r>
            <w:r>
              <w:rPr>
                <w:rFonts w:ascii="Times New Roman" w:hAnsi="Times New Roman"/>
                <w:b/>
                <w:bCs/>
                <w:szCs w:val="21"/>
              </w:rPr>
              <w:t>1</w:t>
            </w:r>
            <w:r>
              <w:rPr>
                <w:rFonts w:hint="eastAsia" w:ascii="Times New Roman" w:hAnsi="Times New Roman"/>
                <w:szCs w:val="21"/>
              </w:rPr>
              <w:t>分；</w:t>
            </w:r>
          </w:p>
        </w:tc>
        <w:tc>
          <w:tcPr>
            <w:tcW w:w="802" w:type="dxa"/>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85"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numPr>
                <w:ilvl w:val="0"/>
                <w:numId w:val="12"/>
              </w:numPr>
              <w:spacing w:before="93" w:beforeLines="30" w:after="93" w:afterLines="30"/>
              <w:jc w:val="left"/>
              <w:rPr>
                <w:rFonts w:ascii="Times New Roman" w:hAnsi="Times New Roman"/>
                <w:szCs w:val="21"/>
              </w:rPr>
            </w:pPr>
            <w:r>
              <w:rPr>
                <w:rFonts w:hint="eastAsia" w:ascii="Times New Roman" w:hAnsi="Times New Roman"/>
                <w:szCs w:val="21"/>
              </w:rPr>
              <w:t>工作人员定期进行体检，得</w:t>
            </w:r>
            <w:r>
              <w:rPr>
                <w:rFonts w:ascii="Times New Roman" w:hAnsi="Times New Roman"/>
                <w:b/>
                <w:bCs/>
                <w:szCs w:val="21"/>
              </w:rPr>
              <w:t>1</w:t>
            </w:r>
            <w:r>
              <w:rPr>
                <w:rFonts w:hint="eastAsia" w:ascii="Times New Roman" w:hAnsi="Times New Roman"/>
                <w:szCs w:val="21"/>
              </w:rPr>
              <w:t>分。</w:t>
            </w:r>
          </w:p>
        </w:tc>
        <w:tc>
          <w:tcPr>
            <w:tcW w:w="802" w:type="dxa"/>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05" w:hRule="atLeast"/>
          <w:jc w:val="center"/>
        </w:trPr>
        <w:tc>
          <w:tcPr>
            <w:tcW w:w="762" w:type="dxa"/>
            <w:vMerge w:val="restart"/>
            <w:shd w:val="clear" w:color="auto" w:fill="D8D8D8"/>
            <w:noWrap w:val="0"/>
            <w:vAlign w:val="center"/>
          </w:tcPr>
          <w:p>
            <w:pPr>
              <w:spacing w:before="93" w:beforeLines="30" w:after="93" w:afterLines="30"/>
              <w:jc w:val="center"/>
              <w:rPr>
                <w:rFonts w:ascii="Times New Roman" w:hAnsi="Times New Roman"/>
                <w:b/>
                <w:bCs/>
                <w:szCs w:val="21"/>
              </w:rPr>
            </w:pPr>
            <w:r>
              <w:rPr>
                <w:rFonts w:hint="eastAsia" w:ascii="Times New Roman" w:hAnsi="Times New Roman"/>
                <w:b/>
                <w:bCs/>
                <w:szCs w:val="21"/>
              </w:rPr>
              <w:t>监</w:t>
            </w:r>
          </w:p>
          <w:p>
            <w:pPr>
              <w:spacing w:before="93" w:beforeLines="30" w:after="93" w:afterLines="30"/>
              <w:jc w:val="center"/>
              <w:rPr>
                <w:rFonts w:ascii="Times New Roman" w:hAnsi="Times New Roman"/>
                <w:b/>
                <w:bCs/>
                <w:szCs w:val="21"/>
              </w:rPr>
            </w:pPr>
            <w:r>
              <w:rPr>
                <w:rFonts w:hint="eastAsia" w:ascii="Times New Roman" w:hAnsi="Times New Roman"/>
                <w:b/>
                <w:bCs/>
                <w:szCs w:val="21"/>
              </w:rPr>
              <w:t>测</w:t>
            </w:r>
          </w:p>
          <w:p>
            <w:pPr>
              <w:spacing w:before="93" w:beforeLines="30" w:after="93" w:afterLines="30"/>
              <w:jc w:val="center"/>
              <w:rPr>
                <w:rFonts w:ascii="Times New Roman" w:hAnsi="Times New Roman"/>
                <w:b/>
                <w:bCs/>
                <w:szCs w:val="21"/>
              </w:rPr>
            </w:pPr>
            <w:r>
              <w:rPr>
                <w:rFonts w:hint="eastAsia" w:ascii="Times New Roman" w:hAnsi="Times New Roman"/>
                <w:b/>
                <w:bCs/>
                <w:szCs w:val="21"/>
              </w:rPr>
              <w:t>控</w:t>
            </w:r>
          </w:p>
          <w:p>
            <w:pPr>
              <w:spacing w:before="93" w:beforeLines="30" w:after="93" w:afterLines="30"/>
              <w:jc w:val="center"/>
              <w:rPr>
                <w:rFonts w:ascii="Times New Roman" w:hAnsi="Times New Roman"/>
                <w:szCs w:val="21"/>
              </w:rPr>
            </w:pPr>
            <w:r>
              <w:rPr>
                <w:rFonts w:hint="eastAsia" w:ascii="Times New Roman" w:hAnsi="Times New Roman"/>
                <w:b/>
                <w:bCs/>
                <w:szCs w:val="21"/>
              </w:rPr>
              <w:t>制</w:t>
            </w:r>
          </w:p>
        </w:tc>
        <w:tc>
          <w:tcPr>
            <w:tcW w:w="750" w:type="dxa"/>
            <w:vMerge w:val="restart"/>
            <w:shd w:val="clear" w:color="auto" w:fill="D8D8D8"/>
            <w:noWrap w:val="0"/>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控</w:t>
            </w:r>
          </w:p>
          <w:p>
            <w:pPr>
              <w:spacing w:before="93" w:beforeLines="30" w:after="93" w:afterLines="30"/>
              <w:jc w:val="center"/>
              <w:rPr>
                <w:rFonts w:ascii="Times New Roman" w:hAnsi="Times New Roman"/>
                <w:szCs w:val="21"/>
              </w:rPr>
            </w:pPr>
            <w:r>
              <w:rPr>
                <w:rFonts w:hint="eastAsia" w:ascii="Times New Roman" w:hAnsi="Times New Roman"/>
                <w:szCs w:val="21"/>
              </w:rPr>
              <w:t>制</w:t>
            </w:r>
          </w:p>
          <w:p>
            <w:pPr>
              <w:spacing w:before="93" w:beforeLines="30" w:after="93" w:afterLines="30"/>
              <w:jc w:val="center"/>
              <w:rPr>
                <w:rFonts w:ascii="Times New Roman" w:hAnsi="Times New Roman"/>
                <w:szCs w:val="21"/>
              </w:rPr>
            </w:pPr>
            <w:r>
              <w:rPr>
                <w:rFonts w:hint="eastAsia" w:ascii="Times New Roman" w:hAnsi="Times New Roman"/>
                <w:szCs w:val="21"/>
              </w:rPr>
              <w:t>项</w:t>
            </w:r>
          </w:p>
        </w:tc>
        <w:tc>
          <w:tcPr>
            <w:tcW w:w="567" w:type="dxa"/>
            <w:vMerge w:val="restart"/>
            <w:noWrap w:val="0"/>
            <w:vAlign w:val="center"/>
          </w:tcPr>
          <w:p>
            <w:pPr>
              <w:spacing w:before="93" w:beforeLines="30" w:after="93" w:afterLines="30"/>
              <w:rPr>
                <w:rFonts w:ascii="Times New Roman" w:hAnsi="Times New Roman"/>
                <w:szCs w:val="21"/>
              </w:rPr>
            </w:pPr>
          </w:p>
          <w:p>
            <w:pPr>
              <w:spacing w:before="93" w:beforeLines="30" w:after="93" w:afterLines="30"/>
              <w:rPr>
                <w:rFonts w:ascii="Times New Roman" w:hAnsi="Times New Roman"/>
                <w:szCs w:val="21"/>
              </w:rPr>
            </w:pPr>
            <w:r>
              <w:rPr>
                <w:rFonts w:ascii="Times New Roman" w:hAnsi="Times New Roman"/>
                <w:szCs w:val="21"/>
              </w:rPr>
              <w:t>5</w:t>
            </w:r>
          </w:p>
        </w:tc>
        <w:tc>
          <w:tcPr>
            <w:tcW w:w="1366" w:type="dxa"/>
            <w:vMerge w:val="restart"/>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监测资料</w:t>
            </w:r>
          </w:p>
        </w:tc>
        <w:tc>
          <w:tcPr>
            <w:tcW w:w="700" w:type="dxa"/>
            <w:vMerge w:val="restart"/>
            <w:noWrap w:val="0"/>
            <w:vAlign w:val="center"/>
          </w:tcPr>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r>
              <w:rPr>
                <w:rFonts w:ascii="Times New Roman" w:hAnsi="Times New Roman"/>
                <w:szCs w:val="21"/>
              </w:rPr>
              <w:t>5</w:t>
            </w:r>
          </w:p>
        </w:tc>
        <w:tc>
          <w:tcPr>
            <w:tcW w:w="4087" w:type="dxa"/>
            <w:gridSpan w:val="2"/>
            <w:noWrap w:val="0"/>
            <w:vAlign w:val="center"/>
          </w:tcPr>
          <w:p>
            <w:pPr>
              <w:numPr>
                <w:ilvl w:val="0"/>
                <w:numId w:val="13"/>
              </w:numPr>
              <w:spacing w:before="93" w:beforeLines="30" w:after="93" w:afterLines="30"/>
              <w:jc w:val="left"/>
              <w:rPr>
                <w:rFonts w:ascii="Times New Roman" w:hAnsi="Times New Roman"/>
                <w:szCs w:val="21"/>
              </w:rPr>
            </w:pPr>
            <w:r>
              <w:rPr>
                <w:rFonts w:hint="eastAsia" w:ascii="Times New Roman" w:hAnsi="Times New Roman"/>
                <w:szCs w:val="21"/>
              </w:rPr>
              <w:t>具有第三方监测结果报告，得</w:t>
            </w:r>
            <w:r>
              <w:rPr>
                <w:rFonts w:ascii="Times New Roman" w:hAnsi="Times New Roman"/>
                <w:b/>
                <w:bCs/>
                <w:szCs w:val="21"/>
              </w:rPr>
              <w:t>2</w:t>
            </w:r>
            <w:r>
              <w:rPr>
                <w:rFonts w:hint="eastAsia" w:ascii="Times New Roman" w:hAnsi="Times New Roman"/>
                <w:szCs w:val="21"/>
              </w:rPr>
              <w:t>分；</w:t>
            </w:r>
          </w:p>
        </w:tc>
        <w:tc>
          <w:tcPr>
            <w:tcW w:w="802" w:type="dxa"/>
            <w:vMerge w:val="restart"/>
            <w:noWrap w:val="0"/>
            <w:vAlign w:val="center"/>
          </w:tcPr>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18"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numPr>
                <w:ilvl w:val="0"/>
                <w:numId w:val="13"/>
              </w:numPr>
              <w:spacing w:before="93" w:beforeLines="30" w:after="93" w:afterLines="30"/>
              <w:jc w:val="left"/>
              <w:rPr>
                <w:rFonts w:ascii="Times New Roman" w:hAnsi="Times New Roman"/>
                <w:szCs w:val="21"/>
              </w:rPr>
            </w:pPr>
            <w:r>
              <w:rPr>
                <w:rFonts w:hint="eastAsia" w:ascii="Times New Roman" w:hAnsi="Times New Roman"/>
                <w:szCs w:val="21"/>
              </w:rPr>
              <w:t>具有生产废水飞将处置或循环利用记录，得</w:t>
            </w:r>
            <w:r>
              <w:rPr>
                <w:rFonts w:ascii="Times New Roman" w:hAnsi="Times New Roman"/>
                <w:b/>
                <w:bCs/>
                <w:szCs w:val="21"/>
              </w:rPr>
              <w:t>1</w:t>
            </w:r>
            <w:r>
              <w:rPr>
                <w:rFonts w:hint="eastAsia" w:ascii="Times New Roman" w:hAnsi="Times New Roman"/>
                <w:szCs w:val="21"/>
              </w:rPr>
              <w:t>分；</w:t>
            </w:r>
          </w:p>
        </w:tc>
        <w:tc>
          <w:tcPr>
            <w:tcW w:w="802" w:type="dxa"/>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7"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b/>
                <w:bCs/>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numPr>
                <w:ilvl w:val="0"/>
                <w:numId w:val="13"/>
              </w:numPr>
              <w:spacing w:before="93" w:beforeLines="30" w:after="93" w:afterLines="30"/>
              <w:jc w:val="left"/>
              <w:rPr>
                <w:rFonts w:ascii="Times New Roman" w:hAnsi="Times New Roman"/>
                <w:szCs w:val="21"/>
              </w:rPr>
            </w:pPr>
            <w:r>
              <w:rPr>
                <w:rFonts w:hint="eastAsia" w:ascii="Times New Roman" w:hAnsi="Times New Roman"/>
                <w:szCs w:val="21"/>
              </w:rPr>
              <w:t>具有除尘、降噪和废水处理等环保设施检查或维护记录，得</w:t>
            </w:r>
            <w:r>
              <w:rPr>
                <w:rFonts w:ascii="Times New Roman" w:hAnsi="Times New Roman"/>
                <w:b/>
                <w:bCs/>
                <w:szCs w:val="21"/>
              </w:rPr>
              <w:t>1</w:t>
            </w:r>
            <w:r>
              <w:rPr>
                <w:rFonts w:hint="eastAsia" w:ascii="Times New Roman" w:hAnsi="Times New Roman"/>
                <w:szCs w:val="21"/>
              </w:rPr>
              <w:t>分；</w:t>
            </w:r>
          </w:p>
        </w:tc>
        <w:tc>
          <w:tcPr>
            <w:tcW w:w="802" w:type="dxa"/>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1"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b/>
                <w:bCs/>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numPr>
                <w:ilvl w:val="0"/>
                <w:numId w:val="13"/>
              </w:numPr>
              <w:spacing w:before="93" w:beforeLines="30" w:after="93" w:afterLines="30"/>
              <w:jc w:val="left"/>
              <w:rPr>
                <w:rFonts w:ascii="Times New Roman" w:hAnsi="Times New Roman"/>
                <w:szCs w:val="21"/>
              </w:rPr>
            </w:pPr>
            <w:r>
              <w:rPr>
                <w:rFonts w:hint="eastAsia" w:ascii="Times New Roman" w:hAnsi="Times New Roman"/>
                <w:szCs w:val="21"/>
              </w:rPr>
              <w:t>具有料位控制系统定期检查记录，得</w:t>
            </w:r>
            <w:r>
              <w:rPr>
                <w:rFonts w:ascii="Times New Roman" w:hAnsi="Times New Roman"/>
                <w:b/>
                <w:bCs/>
                <w:szCs w:val="21"/>
              </w:rPr>
              <w:t>1</w:t>
            </w:r>
            <w:r>
              <w:rPr>
                <w:rFonts w:hint="eastAsia" w:ascii="Times New Roman" w:hAnsi="Times New Roman"/>
                <w:szCs w:val="21"/>
              </w:rPr>
              <w:t>分。</w:t>
            </w:r>
          </w:p>
        </w:tc>
        <w:tc>
          <w:tcPr>
            <w:tcW w:w="802" w:type="dxa"/>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003"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restart"/>
            <w:shd w:val="clear" w:color="auto" w:fill="D8D8D8"/>
            <w:noWrap w:val="0"/>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一</w:t>
            </w:r>
          </w:p>
          <w:p>
            <w:pPr>
              <w:spacing w:before="93" w:beforeLines="30" w:after="93" w:afterLines="30"/>
              <w:jc w:val="center"/>
              <w:rPr>
                <w:rFonts w:ascii="Times New Roman" w:hAnsi="Times New Roman"/>
                <w:szCs w:val="21"/>
              </w:rPr>
            </w:pPr>
            <w:r>
              <w:rPr>
                <w:rFonts w:hint="eastAsia" w:ascii="Times New Roman" w:hAnsi="Times New Roman"/>
                <w:szCs w:val="21"/>
              </w:rPr>
              <w:t>般</w:t>
            </w:r>
          </w:p>
          <w:p>
            <w:pPr>
              <w:spacing w:before="93" w:beforeLines="30" w:after="93" w:afterLines="30"/>
              <w:jc w:val="center"/>
              <w:rPr>
                <w:rFonts w:ascii="Times New Roman" w:hAnsi="Times New Roman"/>
                <w:szCs w:val="21"/>
              </w:rPr>
            </w:pPr>
            <w:r>
              <w:rPr>
                <w:rFonts w:hint="eastAsia" w:ascii="Times New Roman" w:hAnsi="Times New Roman"/>
                <w:szCs w:val="21"/>
              </w:rPr>
              <w:t>项</w:t>
            </w:r>
          </w:p>
        </w:tc>
        <w:tc>
          <w:tcPr>
            <w:tcW w:w="567"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5</w:t>
            </w:r>
          </w:p>
        </w:tc>
        <w:tc>
          <w:tcPr>
            <w:tcW w:w="1366" w:type="dxa"/>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生产性粉尘的监测</w:t>
            </w:r>
          </w:p>
        </w:tc>
        <w:tc>
          <w:tcPr>
            <w:tcW w:w="700" w:type="dxa"/>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2</w:t>
            </w: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1.</w:t>
            </w:r>
            <w:r>
              <w:rPr>
                <w:rFonts w:hint="eastAsia" w:ascii="Times New Roman" w:hAnsi="Times New Roman"/>
                <w:szCs w:val="21"/>
              </w:rPr>
              <w:t>生产性粉尘的监测符合本规程第</w:t>
            </w:r>
            <w:r>
              <w:rPr>
                <w:rFonts w:ascii="Times New Roman" w:hAnsi="Times New Roman"/>
                <w:szCs w:val="21"/>
              </w:rPr>
              <w:t>6.04</w:t>
            </w:r>
            <w:r>
              <w:rPr>
                <w:rFonts w:hint="eastAsia" w:ascii="Times New Roman" w:hAnsi="Times New Roman"/>
                <w:szCs w:val="21"/>
              </w:rPr>
              <w:t>条的规定，监测频率符合本规程表</w:t>
            </w:r>
            <w:r>
              <w:rPr>
                <w:rFonts w:ascii="Times New Roman" w:hAnsi="Times New Roman"/>
                <w:szCs w:val="21"/>
              </w:rPr>
              <w:t>6.0.1</w:t>
            </w:r>
            <w:r>
              <w:rPr>
                <w:rFonts w:hint="eastAsia" w:ascii="Times New Roman" w:hAnsi="Times New Roman"/>
                <w:szCs w:val="21"/>
              </w:rPr>
              <w:t>的规定，具有监测结果报告，得</w:t>
            </w:r>
            <w:r>
              <w:rPr>
                <w:rFonts w:ascii="Times New Roman" w:hAnsi="Times New Roman"/>
                <w:b/>
                <w:bCs/>
                <w:szCs w:val="21"/>
              </w:rPr>
              <w:t>2</w:t>
            </w:r>
            <w:r>
              <w:rPr>
                <w:rFonts w:hint="eastAsia" w:ascii="Times New Roman" w:hAnsi="Times New Roman"/>
                <w:szCs w:val="21"/>
              </w:rPr>
              <w:t>分。</w:t>
            </w:r>
          </w:p>
        </w:tc>
        <w:tc>
          <w:tcPr>
            <w:tcW w:w="802" w:type="dxa"/>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051"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b/>
                <w:bCs/>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restart"/>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生产废水和废浆的监测</w:t>
            </w:r>
          </w:p>
        </w:tc>
        <w:tc>
          <w:tcPr>
            <w:tcW w:w="700" w:type="dxa"/>
            <w:vMerge w:val="restart"/>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2</w:t>
            </w:r>
          </w:p>
        </w:tc>
        <w:tc>
          <w:tcPr>
            <w:tcW w:w="4087" w:type="dxa"/>
            <w:gridSpan w:val="2"/>
            <w:noWrap w:val="0"/>
            <w:vAlign w:val="center"/>
          </w:tcPr>
          <w:p>
            <w:pPr>
              <w:numPr>
                <w:ilvl w:val="0"/>
                <w:numId w:val="14"/>
              </w:numPr>
              <w:spacing w:before="93" w:beforeLines="30" w:after="93" w:afterLines="30"/>
              <w:jc w:val="left"/>
              <w:rPr>
                <w:rFonts w:ascii="Times New Roman" w:hAnsi="Times New Roman"/>
                <w:szCs w:val="21"/>
              </w:rPr>
            </w:pPr>
            <w:r>
              <w:rPr>
                <w:rFonts w:hint="eastAsia" w:ascii="Times New Roman" w:hAnsi="Times New Roman"/>
                <w:szCs w:val="21"/>
              </w:rPr>
              <w:t>生产废水和废浆用于制备混凝土时，监测符合《预拌混凝土绿色生产及管理技术规程》第</w:t>
            </w:r>
            <w:r>
              <w:rPr>
                <w:rFonts w:ascii="Times New Roman" w:hAnsi="Times New Roman"/>
                <w:szCs w:val="21"/>
              </w:rPr>
              <w:t>6.0.2</w:t>
            </w:r>
            <w:r>
              <w:rPr>
                <w:rFonts w:hint="eastAsia" w:ascii="Times New Roman" w:hAnsi="Times New Roman"/>
                <w:szCs w:val="21"/>
              </w:rPr>
              <w:t>条的规定，监测频率符合《预拌混凝土绿色生产及管理技术规程》表</w:t>
            </w:r>
            <w:r>
              <w:rPr>
                <w:rFonts w:ascii="Times New Roman" w:hAnsi="Times New Roman"/>
                <w:szCs w:val="21"/>
              </w:rPr>
              <w:t>6.0.1</w:t>
            </w:r>
            <w:r>
              <w:rPr>
                <w:rFonts w:hint="eastAsia" w:ascii="Times New Roman" w:hAnsi="Times New Roman"/>
                <w:szCs w:val="21"/>
              </w:rPr>
              <w:t>的规定，具有监测结果报告，得</w:t>
            </w:r>
            <w:r>
              <w:rPr>
                <w:rFonts w:ascii="Times New Roman" w:hAnsi="Times New Roman"/>
                <w:b/>
                <w:bCs/>
                <w:szCs w:val="21"/>
              </w:rPr>
              <w:t>2</w:t>
            </w:r>
            <w:r>
              <w:rPr>
                <w:rFonts w:hint="eastAsia" w:ascii="Times New Roman" w:hAnsi="Times New Roman"/>
                <w:szCs w:val="21"/>
              </w:rPr>
              <w:t>分；</w:t>
            </w:r>
          </w:p>
        </w:tc>
        <w:tc>
          <w:tcPr>
            <w:tcW w:w="802" w:type="dxa"/>
            <w:vMerge w:val="restart"/>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18"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b/>
                <w:bCs/>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vMerge w:val="continue"/>
            <w:noWrap w:val="0"/>
            <w:vAlign w:val="center"/>
          </w:tcPr>
          <w:p>
            <w:pPr>
              <w:spacing w:before="93" w:beforeLines="30" w:after="93" w:afterLines="30"/>
              <w:jc w:val="left"/>
              <w:rPr>
                <w:rFonts w:ascii="Times New Roman" w:hAnsi="Times New Roman"/>
                <w:szCs w:val="21"/>
              </w:rPr>
            </w:pPr>
          </w:p>
        </w:tc>
        <w:tc>
          <w:tcPr>
            <w:tcW w:w="700" w:type="dxa"/>
            <w:vMerge w:val="continue"/>
            <w:noWrap w:val="0"/>
            <w:vAlign w:val="center"/>
          </w:tcPr>
          <w:p>
            <w:pPr>
              <w:spacing w:before="93" w:beforeLines="30" w:after="93" w:afterLines="30"/>
              <w:jc w:val="center"/>
              <w:rPr>
                <w:rFonts w:ascii="Times New Roman" w:hAnsi="Times New Roman"/>
                <w:szCs w:val="21"/>
              </w:rPr>
            </w:pPr>
          </w:p>
        </w:tc>
        <w:tc>
          <w:tcPr>
            <w:tcW w:w="4087" w:type="dxa"/>
            <w:gridSpan w:val="2"/>
            <w:noWrap w:val="0"/>
            <w:vAlign w:val="center"/>
          </w:tcPr>
          <w:p>
            <w:pPr>
              <w:numPr>
                <w:ilvl w:val="0"/>
                <w:numId w:val="14"/>
              </w:numPr>
              <w:spacing w:before="93" w:beforeLines="30" w:after="93" w:afterLines="30"/>
              <w:jc w:val="left"/>
              <w:rPr>
                <w:rFonts w:ascii="Times New Roman" w:hAnsi="Times New Roman"/>
                <w:szCs w:val="21"/>
              </w:rPr>
            </w:pPr>
            <w:r>
              <w:rPr>
                <w:rFonts w:hint="eastAsia" w:ascii="Times New Roman" w:hAnsi="Times New Roman"/>
                <w:szCs w:val="21"/>
              </w:rPr>
              <w:t>生产废水完全循环用于硬化地面降尘、生产设备和运输车辆冲洗时</w:t>
            </w:r>
            <w:r>
              <w:rPr>
                <w:rFonts w:ascii="Times New Roman" w:hAnsi="Times New Roman"/>
                <w:szCs w:val="21"/>
              </w:rPr>
              <w:t>,</w:t>
            </w:r>
            <w:r>
              <w:rPr>
                <w:rFonts w:hint="eastAsia" w:ascii="Times New Roman" w:hAnsi="Times New Roman"/>
                <w:szCs w:val="21"/>
              </w:rPr>
              <w:t>不需要监测</w:t>
            </w:r>
            <w:r>
              <w:rPr>
                <w:rFonts w:ascii="Times New Roman" w:hAnsi="Times New Roman"/>
                <w:szCs w:val="21"/>
              </w:rPr>
              <w:t>,</w:t>
            </w:r>
            <w:r>
              <w:rPr>
                <w:rFonts w:hint="eastAsia" w:ascii="Times New Roman" w:hAnsi="Times New Roman"/>
                <w:szCs w:val="21"/>
              </w:rPr>
              <w:t>得</w:t>
            </w:r>
            <w:r>
              <w:rPr>
                <w:rFonts w:ascii="Times New Roman" w:hAnsi="Times New Roman"/>
                <w:b/>
                <w:bCs/>
                <w:szCs w:val="21"/>
              </w:rPr>
              <w:t>2</w:t>
            </w:r>
            <w:r>
              <w:rPr>
                <w:rFonts w:hint="eastAsia" w:ascii="Times New Roman" w:hAnsi="Times New Roman"/>
                <w:szCs w:val="21"/>
              </w:rPr>
              <w:t>分。</w:t>
            </w:r>
          </w:p>
        </w:tc>
        <w:tc>
          <w:tcPr>
            <w:tcW w:w="802" w:type="dxa"/>
            <w:vMerge w:val="continue"/>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71" w:hRule="atLeast"/>
          <w:jc w:val="center"/>
        </w:trPr>
        <w:tc>
          <w:tcPr>
            <w:tcW w:w="762" w:type="dxa"/>
            <w:vMerge w:val="continue"/>
            <w:shd w:val="clear" w:color="auto" w:fill="D8D8D8"/>
            <w:noWrap w:val="0"/>
            <w:vAlign w:val="center"/>
          </w:tcPr>
          <w:p>
            <w:pPr>
              <w:spacing w:before="93" w:beforeLines="30" w:after="93" w:afterLines="30"/>
              <w:jc w:val="center"/>
              <w:rPr>
                <w:rFonts w:ascii="Times New Roman" w:hAnsi="Times New Roman"/>
                <w:szCs w:val="21"/>
              </w:rPr>
            </w:pPr>
          </w:p>
        </w:tc>
        <w:tc>
          <w:tcPr>
            <w:tcW w:w="750" w:type="dxa"/>
            <w:vMerge w:val="continue"/>
            <w:shd w:val="clear" w:color="auto" w:fill="D8D8D8"/>
            <w:noWrap w:val="0"/>
            <w:vAlign w:val="center"/>
          </w:tcPr>
          <w:p>
            <w:pPr>
              <w:spacing w:before="93" w:beforeLines="30" w:after="93" w:afterLines="30"/>
              <w:jc w:val="center"/>
              <w:rPr>
                <w:rFonts w:ascii="Times New Roman" w:hAnsi="Times New Roman"/>
                <w:b/>
                <w:bCs/>
                <w:szCs w:val="21"/>
              </w:rPr>
            </w:pPr>
          </w:p>
        </w:tc>
        <w:tc>
          <w:tcPr>
            <w:tcW w:w="567" w:type="dxa"/>
            <w:vMerge w:val="continue"/>
            <w:noWrap w:val="0"/>
            <w:vAlign w:val="center"/>
          </w:tcPr>
          <w:p>
            <w:pPr>
              <w:spacing w:before="93" w:beforeLines="30" w:after="93" w:afterLines="30"/>
              <w:jc w:val="center"/>
              <w:rPr>
                <w:rFonts w:ascii="Times New Roman" w:hAnsi="Times New Roman"/>
                <w:szCs w:val="21"/>
              </w:rPr>
            </w:pPr>
          </w:p>
        </w:tc>
        <w:tc>
          <w:tcPr>
            <w:tcW w:w="1366" w:type="dxa"/>
            <w:noWrap w:val="0"/>
            <w:vAlign w:val="center"/>
          </w:tcPr>
          <w:p>
            <w:pPr>
              <w:spacing w:before="93" w:beforeLines="30" w:after="93" w:afterLines="30"/>
              <w:jc w:val="left"/>
              <w:rPr>
                <w:rFonts w:ascii="Times New Roman" w:hAnsi="Times New Roman"/>
                <w:szCs w:val="21"/>
              </w:rPr>
            </w:pPr>
            <w:r>
              <w:rPr>
                <w:rFonts w:hint="eastAsia" w:ascii="Times New Roman" w:hAnsi="Times New Roman"/>
                <w:szCs w:val="21"/>
              </w:rPr>
              <w:t>环境噪声的监测</w:t>
            </w:r>
          </w:p>
        </w:tc>
        <w:tc>
          <w:tcPr>
            <w:tcW w:w="700" w:type="dxa"/>
            <w:noWrap w:val="0"/>
            <w:vAlign w:val="center"/>
          </w:tcPr>
          <w:p>
            <w:pPr>
              <w:spacing w:before="93" w:beforeLines="30" w:after="93" w:afterLines="30"/>
              <w:jc w:val="center"/>
              <w:rPr>
                <w:rFonts w:ascii="Times New Roman" w:hAnsi="Times New Roman"/>
                <w:szCs w:val="21"/>
              </w:rPr>
            </w:pPr>
            <w:r>
              <w:rPr>
                <w:rFonts w:ascii="Times New Roman" w:hAnsi="Times New Roman"/>
                <w:szCs w:val="21"/>
              </w:rPr>
              <w:t>1</w:t>
            </w:r>
          </w:p>
        </w:tc>
        <w:tc>
          <w:tcPr>
            <w:tcW w:w="4087" w:type="dxa"/>
            <w:gridSpan w:val="2"/>
            <w:noWrap w:val="0"/>
            <w:vAlign w:val="center"/>
          </w:tcPr>
          <w:p>
            <w:pPr>
              <w:spacing w:before="93" w:beforeLines="30" w:after="93" w:afterLines="30"/>
              <w:jc w:val="left"/>
              <w:rPr>
                <w:rFonts w:ascii="Times New Roman" w:hAnsi="Times New Roman"/>
                <w:szCs w:val="21"/>
              </w:rPr>
            </w:pPr>
            <w:r>
              <w:rPr>
                <w:rFonts w:ascii="Times New Roman" w:hAnsi="Times New Roman"/>
                <w:szCs w:val="21"/>
              </w:rPr>
              <w:t>1.</w:t>
            </w:r>
            <w:r>
              <w:rPr>
                <w:rFonts w:hint="eastAsia" w:ascii="Times New Roman" w:hAnsi="Times New Roman"/>
                <w:szCs w:val="21"/>
              </w:rPr>
              <w:t>环境噪声的监测符合《预拌混凝土绿色生产及管理技术规程》第</w:t>
            </w:r>
            <w:r>
              <w:rPr>
                <w:rFonts w:ascii="Times New Roman" w:hAnsi="Times New Roman"/>
                <w:szCs w:val="21"/>
              </w:rPr>
              <w:t>6.0.3</w:t>
            </w:r>
            <w:r>
              <w:rPr>
                <w:rFonts w:hint="eastAsia" w:ascii="Times New Roman" w:hAnsi="Times New Roman"/>
                <w:szCs w:val="21"/>
              </w:rPr>
              <w:t>条的规定，监测频率符合《预拌混凝土绿色生产及管理技术规程》表</w:t>
            </w:r>
            <w:r>
              <w:rPr>
                <w:rFonts w:ascii="Times New Roman" w:hAnsi="Times New Roman"/>
                <w:szCs w:val="21"/>
              </w:rPr>
              <w:t>6.0.1</w:t>
            </w:r>
            <w:r>
              <w:rPr>
                <w:rFonts w:hint="eastAsia" w:ascii="Times New Roman" w:hAnsi="Times New Roman"/>
                <w:szCs w:val="21"/>
              </w:rPr>
              <w:t>的规定，具有监测结果报告，得</w:t>
            </w:r>
            <w:r>
              <w:rPr>
                <w:rFonts w:ascii="Times New Roman" w:hAnsi="Times New Roman"/>
                <w:b/>
                <w:bCs/>
                <w:szCs w:val="21"/>
              </w:rPr>
              <w:t>1</w:t>
            </w:r>
            <w:r>
              <w:rPr>
                <w:rFonts w:hint="eastAsia" w:ascii="Times New Roman" w:hAnsi="Times New Roman"/>
                <w:szCs w:val="21"/>
              </w:rPr>
              <w:t>分。</w:t>
            </w:r>
          </w:p>
        </w:tc>
        <w:tc>
          <w:tcPr>
            <w:tcW w:w="802" w:type="dxa"/>
            <w:noWrap w:val="0"/>
            <w:vAlign w:val="center"/>
          </w:tcPr>
          <w:p>
            <w:pPr>
              <w:spacing w:before="93" w:beforeLines="30" w:after="93" w:afterLines="3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68" w:hRule="atLeast"/>
          <w:jc w:val="center"/>
        </w:trPr>
        <w:tc>
          <w:tcPr>
            <w:tcW w:w="1512" w:type="dxa"/>
            <w:gridSpan w:val="2"/>
            <w:shd w:val="clear" w:color="auto" w:fill="D8D8D8"/>
            <w:noWrap w:val="0"/>
            <w:vAlign w:val="center"/>
          </w:tcPr>
          <w:p>
            <w:pPr>
              <w:spacing w:before="93" w:beforeLines="30" w:after="93" w:afterLines="30"/>
              <w:jc w:val="center"/>
              <w:rPr>
                <w:rFonts w:ascii="Times New Roman" w:hAnsi="Times New Roman"/>
                <w:b/>
                <w:bCs/>
                <w:szCs w:val="21"/>
              </w:rPr>
            </w:pPr>
            <w:r>
              <w:rPr>
                <w:rFonts w:hint="eastAsia" w:ascii="Times New Roman" w:hAnsi="Times New Roman"/>
                <w:b/>
                <w:bCs/>
                <w:szCs w:val="21"/>
              </w:rPr>
              <w:t>通用要求总得分</w:t>
            </w:r>
          </w:p>
        </w:tc>
        <w:tc>
          <w:tcPr>
            <w:tcW w:w="7522" w:type="dxa"/>
            <w:gridSpan w:val="6"/>
            <w:shd w:val="clear" w:color="auto" w:fill="D8D8D8"/>
            <w:noWrap w:val="0"/>
            <w:vAlign w:val="center"/>
          </w:tcPr>
          <w:p>
            <w:pPr>
              <w:spacing w:before="93" w:beforeLines="30" w:after="93" w:afterLines="30"/>
              <w:jc w:val="left"/>
              <w:rPr>
                <w:rFonts w:ascii="Times New Roman" w:hAnsi="Times New Roman"/>
                <w:b/>
                <w:bCs/>
                <w:szCs w:val="21"/>
              </w:rPr>
            </w:pPr>
            <w:r>
              <w:rPr>
                <w:rFonts w:hint="eastAsia" w:ascii="Times New Roman" w:hAnsi="Times New Roman"/>
                <w:b/>
                <w:bCs/>
                <w:szCs w:val="21"/>
              </w:rPr>
              <w:t>通用要求评价得分为：</w:t>
            </w:r>
            <w:r>
              <w:rPr>
                <w:rFonts w:ascii="Times New Roman" w:hAnsi="Times New Roman"/>
                <w:b/>
                <w:bCs/>
                <w:szCs w:val="21"/>
                <w:u w:val="single"/>
              </w:rPr>
              <w:t xml:space="preserve">         </w:t>
            </w:r>
            <w:r>
              <w:rPr>
                <w:rFonts w:hint="eastAsia" w:ascii="Times New Roman" w:hAnsi="Times New Roman"/>
                <w:b/>
                <w:bCs/>
                <w:szCs w:val="21"/>
              </w:rPr>
              <w:t>，其中设备设施评价得分为：</w:t>
            </w:r>
            <w:r>
              <w:rPr>
                <w:rFonts w:ascii="Times New Roman" w:hAnsi="Times New Roman"/>
                <w:b/>
                <w:bCs/>
                <w:szCs w:val="21"/>
                <w:u w:val="single"/>
              </w:rPr>
              <w:t xml:space="preserve">         </w:t>
            </w:r>
            <w:r>
              <w:rPr>
                <w:rFonts w:hint="eastAsia" w:ascii="Times New Roman" w:hAnsi="Times New Roman"/>
                <w:b/>
                <w:bCs/>
                <w:szCs w:val="21"/>
              </w:rPr>
              <w:t>。</w:t>
            </w:r>
          </w:p>
        </w:tc>
      </w:tr>
    </w:tbl>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hint="eastAsia" w:ascii="宋体" w:cs="宋体"/>
          <w:szCs w:val="21"/>
        </w:rPr>
      </w:pPr>
    </w:p>
    <w:p>
      <w:pPr>
        <w:rPr>
          <w:rFonts w:hint="eastAsia" w:ascii="宋体" w:cs="宋体"/>
          <w:szCs w:val="21"/>
        </w:rPr>
      </w:pPr>
    </w:p>
    <w:p>
      <w:pPr>
        <w:rPr>
          <w:rFonts w:hint="eastAsia" w:ascii="宋体" w:cs="宋体"/>
          <w:szCs w:val="21"/>
        </w:rPr>
      </w:pPr>
    </w:p>
    <w:p>
      <w:pPr>
        <w:rPr>
          <w:rFonts w:hint="eastAsia" w:ascii="宋体" w:cs="宋体"/>
          <w:szCs w:val="21"/>
        </w:rPr>
      </w:pPr>
    </w:p>
    <w:p>
      <w:pPr>
        <w:rPr>
          <w:rFonts w:hint="eastAsia" w:ascii="宋体" w:cs="宋体"/>
          <w:szCs w:val="21"/>
        </w:rPr>
      </w:pPr>
    </w:p>
    <w:p>
      <w:pPr>
        <w:rPr>
          <w:rFonts w:hint="eastAsia" w:ascii="宋体" w:cs="宋体"/>
          <w:szCs w:val="21"/>
        </w:rPr>
      </w:pPr>
    </w:p>
    <w:p>
      <w:pPr>
        <w:rPr>
          <w:rFonts w:hint="eastAsia" w:ascii="宋体" w:cs="宋体"/>
          <w:szCs w:val="21"/>
        </w:rPr>
      </w:pPr>
    </w:p>
    <w:p>
      <w:pPr>
        <w:rPr>
          <w:rFonts w:hint="eastAsia" w:ascii="宋体" w:cs="宋体"/>
          <w:szCs w:val="21"/>
        </w:rPr>
      </w:pP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r>
        <w:rPr>
          <w:rFonts w:hint="eastAsia" w:ascii="方正小标宋简体" w:hAnsi="方正小标宋简体" w:eastAsia="方正小标宋简体" w:cs="方正小标宋简体"/>
          <w:b w:val="0"/>
          <w:bCs w:val="0"/>
          <w:color w:val="000000"/>
          <w:kern w:val="44"/>
          <w:sz w:val="32"/>
          <w:szCs w:val="32"/>
        </w:rPr>
        <w:t>绿色生产评价专项要求评价表B</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89"/>
        <w:gridCol w:w="615"/>
        <w:gridCol w:w="1420"/>
        <w:gridCol w:w="4277"/>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89" w:type="dxa"/>
            <w:shd w:val="clear" w:color="auto" w:fill="D8D8D8"/>
            <w:noWrap w:val="0"/>
            <w:vAlign w:val="center"/>
          </w:tcPr>
          <w:p>
            <w:pPr>
              <w:spacing w:before="156" w:beforeLines="50" w:after="156" w:afterLines="50"/>
              <w:jc w:val="center"/>
              <w:rPr>
                <w:rFonts w:ascii="Times New Roman" w:hAnsi="Times New Roman"/>
                <w:b/>
                <w:bCs/>
                <w:szCs w:val="21"/>
              </w:rPr>
            </w:pPr>
            <w:r>
              <w:rPr>
                <w:rFonts w:hint="eastAsia" w:ascii="Times New Roman" w:hAnsi="Times New Roman"/>
                <w:b/>
                <w:bCs/>
                <w:szCs w:val="21"/>
              </w:rPr>
              <w:t>评价指标</w:t>
            </w:r>
          </w:p>
        </w:tc>
        <w:tc>
          <w:tcPr>
            <w:tcW w:w="789" w:type="dxa"/>
            <w:shd w:val="clear" w:color="auto" w:fill="D8D8D8"/>
            <w:noWrap w:val="0"/>
            <w:vAlign w:val="center"/>
          </w:tcPr>
          <w:p>
            <w:pPr>
              <w:spacing w:before="156" w:beforeLines="50" w:after="156" w:afterLines="50"/>
              <w:jc w:val="center"/>
              <w:rPr>
                <w:rFonts w:ascii="Times New Roman" w:hAnsi="Times New Roman"/>
                <w:b/>
                <w:bCs/>
                <w:szCs w:val="21"/>
              </w:rPr>
            </w:pPr>
            <w:r>
              <w:rPr>
                <w:rFonts w:hint="eastAsia" w:ascii="Times New Roman" w:hAnsi="Times New Roman"/>
                <w:b/>
                <w:bCs/>
                <w:szCs w:val="21"/>
              </w:rPr>
              <w:t>指标类型</w:t>
            </w:r>
          </w:p>
        </w:tc>
        <w:tc>
          <w:tcPr>
            <w:tcW w:w="615" w:type="dxa"/>
            <w:shd w:val="clear" w:color="auto" w:fill="D8D8D8"/>
            <w:noWrap w:val="0"/>
            <w:vAlign w:val="center"/>
          </w:tcPr>
          <w:p>
            <w:pPr>
              <w:spacing w:before="156" w:beforeLines="50" w:after="156" w:afterLines="50"/>
              <w:jc w:val="center"/>
              <w:rPr>
                <w:rFonts w:ascii="Times New Roman" w:hAnsi="Times New Roman"/>
                <w:b/>
                <w:bCs/>
                <w:szCs w:val="21"/>
              </w:rPr>
            </w:pPr>
            <w:r>
              <w:rPr>
                <w:rFonts w:hint="eastAsia" w:ascii="Times New Roman" w:hAnsi="Times New Roman"/>
                <w:b/>
                <w:bCs/>
                <w:szCs w:val="21"/>
              </w:rPr>
              <w:t>分值</w:t>
            </w:r>
          </w:p>
        </w:tc>
        <w:tc>
          <w:tcPr>
            <w:tcW w:w="1420" w:type="dxa"/>
            <w:shd w:val="clear" w:color="auto" w:fill="D8D8D8"/>
            <w:noWrap w:val="0"/>
            <w:vAlign w:val="center"/>
          </w:tcPr>
          <w:p>
            <w:pPr>
              <w:spacing w:before="156" w:beforeLines="50" w:after="156" w:afterLines="50"/>
              <w:jc w:val="center"/>
              <w:rPr>
                <w:rFonts w:ascii="Times New Roman" w:hAnsi="Times New Roman"/>
                <w:b/>
                <w:bCs/>
                <w:szCs w:val="21"/>
              </w:rPr>
            </w:pPr>
            <w:r>
              <w:rPr>
                <w:rFonts w:hint="eastAsia" w:ascii="Times New Roman" w:hAnsi="Times New Roman"/>
                <w:b/>
                <w:bCs/>
                <w:szCs w:val="21"/>
              </w:rPr>
              <w:t>分项评价内容</w:t>
            </w:r>
          </w:p>
        </w:tc>
        <w:tc>
          <w:tcPr>
            <w:tcW w:w="4277" w:type="dxa"/>
            <w:shd w:val="clear" w:color="auto" w:fill="D8D8D8"/>
            <w:noWrap w:val="0"/>
            <w:vAlign w:val="center"/>
          </w:tcPr>
          <w:p>
            <w:pPr>
              <w:spacing w:before="156" w:beforeLines="50" w:after="156" w:afterLines="50"/>
              <w:jc w:val="center"/>
              <w:rPr>
                <w:rFonts w:ascii="Times New Roman" w:hAnsi="Times New Roman"/>
                <w:b/>
                <w:bCs/>
                <w:szCs w:val="21"/>
              </w:rPr>
            </w:pPr>
            <w:r>
              <w:rPr>
                <w:rFonts w:hint="eastAsia" w:ascii="Times New Roman" w:hAnsi="Times New Roman"/>
                <w:b/>
                <w:bCs/>
                <w:szCs w:val="21"/>
              </w:rPr>
              <w:t>评价要素</w:t>
            </w:r>
          </w:p>
        </w:tc>
        <w:tc>
          <w:tcPr>
            <w:tcW w:w="868" w:type="dxa"/>
            <w:shd w:val="clear" w:color="auto" w:fill="D8D8D8"/>
            <w:noWrap w:val="0"/>
            <w:vAlign w:val="center"/>
          </w:tcPr>
          <w:p>
            <w:pPr>
              <w:spacing w:before="156" w:beforeLines="50" w:after="156" w:afterLines="50"/>
              <w:jc w:val="center"/>
              <w:rPr>
                <w:rFonts w:ascii="Times New Roman" w:hAnsi="Times New Roman"/>
                <w:b/>
                <w:bCs/>
                <w:szCs w:val="21"/>
              </w:rPr>
            </w:pPr>
            <w:r>
              <w:rPr>
                <w:rFonts w:hint="eastAsia" w:ascii="Times New Roman" w:hAnsi="Times New Roman"/>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89" w:type="dxa"/>
            <w:vMerge w:val="restart"/>
            <w:shd w:val="clear" w:color="auto" w:fill="D8D8D8"/>
            <w:noWrap w:val="0"/>
            <w:vAlign w:val="center"/>
          </w:tcPr>
          <w:p>
            <w:pPr>
              <w:spacing w:before="156" w:beforeLines="50" w:after="156" w:afterLines="50"/>
              <w:jc w:val="center"/>
              <w:rPr>
                <w:rFonts w:ascii="Times New Roman" w:hAnsi="Times New Roman"/>
                <w:b/>
                <w:bCs/>
                <w:szCs w:val="21"/>
              </w:rPr>
            </w:pPr>
            <w:r>
              <w:rPr>
                <w:rFonts w:hint="eastAsia" w:ascii="Times New Roman" w:hAnsi="Times New Roman"/>
                <w:b/>
                <w:bCs/>
                <w:szCs w:val="21"/>
              </w:rPr>
              <w:t>控</w:t>
            </w:r>
          </w:p>
          <w:p>
            <w:pPr>
              <w:spacing w:before="156" w:beforeLines="50" w:after="156" w:afterLines="50"/>
              <w:jc w:val="center"/>
              <w:rPr>
                <w:rFonts w:ascii="Times New Roman" w:hAnsi="Times New Roman"/>
                <w:b/>
                <w:bCs/>
                <w:szCs w:val="21"/>
              </w:rPr>
            </w:pPr>
            <w:r>
              <w:rPr>
                <w:rFonts w:hint="eastAsia" w:ascii="Times New Roman" w:hAnsi="Times New Roman"/>
                <w:b/>
                <w:bCs/>
                <w:szCs w:val="21"/>
              </w:rPr>
              <w:t>制</w:t>
            </w:r>
          </w:p>
          <w:p>
            <w:pPr>
              <w:spacing w:before="156" w:beforeLines="50" w:after="156" w:afterLines="50"/>
              <w:jc w:val="center"/>
              <w:rPr>
                <w:rFonts w:ascii="Times New Roman" w:hAnsi="Times New Roman"/>
                <w:b/>
                <w:bCs/>
                <w:szCs w:val="21"/>
              </w:rPr>
            </w:pPr>
            <w:r>
              <w:rPr>
                <w:rFonts w:hint="eastAsia" w:ascii="Times New Roman" w:hAnsi="Times New Roman"/>
                <w:b/>
                <w:bCs/>
                <w:szCs w:val="21"/>
              </w:rPr>
              <w:t>技</w:t>
            </w:r>
          </w:p>
          <w:p>
            <w:pPr>
              <w:spacing w:before="156" w:beforeLines="50" w:after="156" w:afterLines="50"/>
              <w:jc w:val="center"/>
              <w:rPr>
                <w:rFonts w:ascii="Times New Roman" w:hAnsi="Times New Roman"/>
                <w:szCs w:val="21"/>
              </w:rPr>
            </w:pPr>
            <w:r>
              <w:rPr>
                <w:rFonts w:hint="eastAsia" w:ascii="Times New Roman" w:hAnsi="Times New Roman"/>
                <w:b/>
                <w:bCs/>
                <w:szCs w:val="21"/>
              </w:rPr>
              <w:t>术</w:t>
            </w:r>
          </w:p>
        </w:tc>
        <w:tc>
          <w:tcPr>
            <w:tcW w:w="789" w:type="dxa"/>
            <w:vMerge w:val="restart"/>
            <w:shd w:val="clear" w:color="auto" w:fill="D8D8D8"/>
            <w:noWrap w:val="0"/>
            <w:vAlign w:val="center"/>
          </w:tcPr>
          <w:p>
            <w:pPr>
              <w:spacing w:before="156" w:beforeLines="50" w:after="156" w:afterLines="50"/>
              <w:jc w:val="center"/>
              <w:rPr>
                <w:rFonts w:ascii="Times New Roman" w:hAnsi="Times New Roman"/>
                <w:szCs w:val="21"/>
              </w:rPr>
            </w:pPr>
            <w:r>
              <w:rPr>
                <w:rFonts w:hint="eastAsia" w:ascii="Times New Roman" w:hAnsi="Times New Roman"/>
                <w:szCs w:val="21"/>
              </w:rPr>
              <w:t>控</w:t>
            </w:r>
          </w:p>
          <w:p>
            <w:pPr>
              <w:spacing w:before="156" w:beforeLines="50" w:after="156" w:afterLines="50"/>
              <w:jc w:val="center"/>
              <w:rPr>
                <w:rFonts w:ascii="Times New Roman" w:hAnsi="Times New Roman"/>
                <w:szCs w:val="21"/>
              </w:rPr>
            </w:pPr>
            <w:r>
              <w:rPr>
                <w:rFonts w:hint="eastAsia" w:ascii="Times New Roman" w:hAnsi="Times New Roman"/>
                <w:szCs w:val="21"/>
              </w:rPr>
              <w:t>制</w:t>
            </w:r>
          </w:p>
          <w:p>
            <w:pPr>
              <w:spacing w:before="156" w:beforeLines="50" w:after="156" w:afterLines="50"/>
              <w:jc w:val="center"/>
              <w:rPr>
                <w:rFonts w:ascii="Times New Roman" w:hAnsi="Times New Roman"/>
                <w:szCs w:val="21"/>
              </w:rPr>
            </w:pPr>
            <w:r>
              <w:rPr>
                <w:rFonts w:hint="eastAsia" w:ascii="Times New Roman" w:hAnsi="Times New Roman"/>
                <w:szCs w:val="21"/>
              </w:rPr>
              <w:t>项</w:t>
            </w:r>
          </w:p>
        </w:tc>
        <w:tc>
          <w:tcPr>
            <w:tcW w:w="615" w:type="dxa"/>
            <w:vMerge w:val="restart"/>
            <w:noWrap w:val="0"/>
            <w:vAlign w:val="center"/>
          </w:tcPr>
          <w:p>
            <w:pPr>
              <w:spacing w:before="156" w:beforeLines="50" w:after="156" w:afterLines="50"/>
              <w:jc w:val="center"/>
              <w:rPr>
                <w:rFonts w:ascii="Times New Roman" w:hAnsi="Times New Roman"/>
                <w:szCs w:val="21"/>
              </w:rPr>
            </w:pPr>
            <w:r>
              <w:rPr>
                <w:rFonts w:ascii="Times New Roman" w:hAnsi="Times New Roman"/>
                <w:szCs w:val="21"/>
              </w:rPr>
              <w:t>12</w:t>
            </w:r>
          </w:p>
        </w:tc>
        <w:tc>
          <w:tcPr>
            <w:tcW w:w="1420" w:type="dxa"/>
            <w:noWrap w:val="0"/>
            <w:vAlign w:val="center"/>
          </w:tcPr>
          <w:p>
            <w:pPr>
              <w:spacing w:before="156" w:beforeLines="50" w:after="156" w:afterLines="50"/>
              <w:jc w:val="left"/>
              <w:rPr>
                <w:rFonts w:ascii="Times New Roman" w:hAnsi="Times New Roman"/>
                <w:szCs w:val="21"/>
              </w:rPr>
            </w:pPr>
            <w:r>
              <w:rPr>
                <w:rFonts w:hint="eastAsia" w:ascii="Times New Roman" w:hAnsi="Times New Roman"/>
                <w:szCs w:val="21"/>
              </w:rPr>
              <w:t>生产废水控制</w:t>
            </w:r>
          </w:p>
        </w:tc>
        <w:tc>
          <w:tcPr>
            <w:tcW w:w="4277" w:type="dxa"/>
            <w:noWrap w:val="0"/>
            <w:vAlign w:val="center"/>
          </w:tcPr>
          <w:p>
            <w:pPr>
              <w:spacing w:before="156" w:beforeLines="50" w:after="156" w:afterLines="50"/>
              <w:jc w:val="left"/>
              <w:rPr>
                <w:rFonts w:ascii="Times New Roman" w:hAnsi="Times New Roman"/>
                <w:szCs w:val="21"/>
              </w:rPr>
            </w:pPr>
            <w:r>
              <w:rPr>
                <w:rFonts w:hint="eastAsia" w:ascii="Times New Roman" w:hAnsi="Times New Roman"/>
                <w:szCs w:val="21"/>
              </w:rPr>
              <w:t>全年的生产废水消纳利用率或循环利用率达到</w:t>
            </w:r>
            <w:r>
              <w:rPr>
                <w:rFonts w:ascii="Times New Roman" w:hAnsi="Times New Roman"/>
                <w:szCs w:val="21"/>
              </w:rPr>
              <w:t>100%</w:t>
            </w:r>
            <w:r>
              <w:rPr>
                <w:rFonts w:hint="eastAsia" w:ascii="Times New Roman" w:hAnsi="Times New Roman"/>
                <w:szCs w:val="21"/>
              </w:rPr>
              <w:t>，并有相关证明材料。</w:t>
            </w:r>
          </w:p>
        </w:tc>
        <w:tc>
          <w:tcPr>
            <w:tcW w:w="868" w:type="dxa"/>
            <w:noWrap w:val="0"/>
            <w:vAlign w:val="center"/>
          </w:tcPr>
          <w:p>
            <w:pPr>
              <w:spacing w:before="156" w:beforeLines="50" w:after="156" w:afterLines="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789" w:type="dxa"/>
            <w:vMerge w:val="continue"/>
            <w:shd w:val="clear" w:color="auto" w:fill="D8D8D8"/>
            <w:noWrap w:val="0"/>
            <w:vAlign w:val="center"/>
          </w:tcPr>
          <w:p>
            <w:pPr>
              <w:spacing w:before="156" w:beforeLines="50" w:after="156" w:afterLines="50"/>
              <w:jc w:val="center"/>
              <w:rPr>
                <w:rFonts w:ascii="Times New Roman" w:hAnsi="Times New Roman"/>
                <w:szCs w:val="21"/>
              </w:rPr>
            </w:pPr>
          </w:p>
        </w:tc>
        <w:tc>
          <w:tcPr>
            <w:tcW w:w="789" w:type="dxa"/>
            <w:vMerge w:val="continue"/>
            <w:shd w:val="clear" w:color="auto" w:fill="D8D8D8"/>
            <w:noWrap w:val="0"/>
            <w:vAlign w:val="center"/>
          </w:tcPr>
          <w:p>
            <w:pPr>
              <w:spacing w:before="156" w:beforeLines="50" w:after="156" w:afterLines="50"/>
              <w:jc w:val="center"/>
              <w:rPr>
                <w:rFonts w:ascii="Times New Roman" w:hAnsi="Times New Roman"/>
                <w:szCs w:val="21"/>
              </w:rPr>
            </w:pPr>
          </w:p>
        </w:tc>
        <w:tc>
          <w:tcPr>
            <w:tcW w:w="615" w:type="dxa"/>
            <w:vMerge w:val="continue"/>
            <w:noWrap w:val="0"/>
            <w:vAlign w:val="center"/>
          </w:tcPr>
          <w:p>
            <w:pPr>
              <w:spacing w:before="156" w:beforeLines="50" w:after="156" w:afterLines="50"/>
              <w:jc w:val="center"/>
              <w:rPr>
                <w:rFonts w:ascii="Times New Roman" w:hAnsi="Times New Roman"/>
                <w:szCs w:val="21"/>
              </w:rPr>
            </w:pPr>
          </w:p>
        </w:tc>
        <w:tc>
          <w:tcPr>
            <w:tcW w:w="1420" w:type="dxa"/>
            <w:noWrap w:val="0"/>
            <w:vAlign w:val="center"/>
          </w:tcPr>
          <w:p>
            <w:pPr>
              <w:spacing w:before="156" w:beforeLines="50" w:after="156" w:afterLines="50"/>
              <w:jc w:val="left"/>
              <w:rPr>
                <w:rFonts w:ascii="Times New Roman" w:hAnsi="Times New Roman"/>
                <w:szCs w:val="21"/>
              </w:rPr>
            </w:pPr>
            <w:r>
              <w:rPr>
                <w:rFonts w:hint="eastAsia" w:ascii="Times New Roman" w:hAnsi="Times New Roman"/>
                <w:szCs w:val="21"/>
              </w:rPr>
              <w:t>厂界生产性粉尘控制</w:t>
            </w:r>
          </w:p>
        </w:tc>
        <w:tc>
          <w:tcPr>
            <w:tcW w:w="4277" w:type="dxa"/>
            <w:noWrap w:val="0"/>
            <w:vAlign w:val="center"/>
          </w:tcPr>
          <w:p>
            <w:pPr>
              <w:spacing w:before="156" w:beforeLines="50" w:after="156" w:afterLines="50"/>
              <w:jc w:val="left"/>
              <w:rPr>
                <w:rFonts w:ascii="Times New Roman" w:hAnsi="Times New Roman"/>
                <w:szCs w:val="21"/>
              </w:rPr>
            </w:pPr>
            <w:r>
              <w:rPr>
                <w:rFonts w:hint="eastAsia" w:ascii="Times New Roman" w:hAnsi="Times New Roman"/>
                <w:szCs w:val="21"/>
              </w:rPr>
              <w:t>厂区位于住区、商业交通居民混合区、文化区、工业区和农村地区时，总悬浮颗粒物、可吸入颗粒物和细颗粒物的厂界浓度差值最大限值分别为</w:t>
            </w:r>
            <w:r>
              <w:rPr>
                <w:rFonts w:ascii="Times New Roman" w:hAnsi="Times New Roman"/>
                <w:szCs w:val="21"/>
              </w:rPr>
              <w:t>250μg/m</w:t>
            </w:r>
            <w:r>
              <w:rPr>
                <w:rFonts w:ascii="Times New Roman" w:hAnsi="Times New Roman"/>
                <w:szCs w:val="21"/>
                <w:vertAlign w:val="superscript"/>
              </w:rPr>
              <w:t>3</w:t>
            </w:r>
            <w:r>
              <w:rPr>
                <w:rFonts w:hint="eastAsia" w:ascii="Times New Roman" w:hAnsi="Times New Roman"/>
                <w:szCs w:val="21"/>
              </w:rPr>
              <w:t>、</w:t>
            </w:r>
            <w:r>
              <w:rPr>
                <w:rFonts w:ascii="Times New Roman" w:hAnsi="Times New Roman"/>
                <w:szCs w:val="21"/>
              </w:rPr>
              <w:t>120μg/m</w:t>
            </w:r>
            <w:r>
              <w:rPr>
                <w:rFonts w:ascii="Times New Roman" w:hAnsi="Times New Roman"/>
                <w:szCs w:val="21"/>
                <w:vertAlign w:val="superscript"/>
              </w:rPr>
              <w:t>3</w:t>
            </w:r>
            <w:r>
              <w:rPr>
                <w:rFonts w:hint="eastAsia" w:ascii="Times New Roman" w:hAnsi="Times New Roman"/>
                <w:szCs w:val="21"/>
              </w:rPr>
              <w:t>和</w:t>
            </w:r>
            <w:r>
              <w:rPr>
                <w:rFonts w:ascii="Times New Roman" w:hAnsi="Times New Roman"/>
                <w:szCs w:val="21"/>
              </w:rPr>
              <w:t>55μg/m</w:t>
            </w:r>
            <w:r>
              <w:rPr>
                <w:rFonts w:ascii="Times New Roman" w:hAnsi="Times New Roman"/>
                <w:szCs w:val="21"/>
                <w:vertAlign w:val="superscript"/>
              </w:rPr>
              <w:t>3</w:t>
            </w:r>
            <w:r>
              <w:rPr>
                <w:rFonts w:hint="eastAsia" w:ascii="Times New Roman" w:hAnsi="Times New Roman"/>
                <w:szCs w:val="21"/>
              </w:rPr>
              <w:t>。</w:t>
            </w:r>
          </w:p>
        </w:tc>
        <w:tc>
          <w:tcPr>
            <w:tcW w:w="868" w:type="dxa"/>
            <w:noWrap w:val="0"/>
            <w:vAlign w:val="center"/>
          </w:tcPr>
          <w:p>
            <w:pPr>
              <w:spacing w:before="156" w:beforeLines="50" w:after="156" w:afterLines="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89" w:type="dxa"/>
            <w:vMerge w:val="continue"/>
            <w:shd w:val="clear" w:color="auto" w:fill="D8D8D8"/>
            <w:noWrap w:val="0"/>
            <w:vAlign w:val="center"/>
          </w:tcPr>
          <w:p>
            <w:pPr>
              <w:spacing w:before="156" w:beforeLines="50" w:after="156" w:afterLines="50"/>
              <w:jc w:val="center"/>
              <w:rPr>
                <w:rFonts w:ascii="Times New Roman" w:hAnsi="Times New Roman"/>
                <w:szCs w:val="21"/>
              </w:rPr>
            </w:pPr>
          </w:p>
        </w:tc>
        <w:tc>
          <w:tcPr>
            <w:tcW w:w="789" w:type="dxa"/>
            <w:vMerge w:val="continue"/>
            <w:shd w:val="clear" w:color="auto" w:fill="D8D8D8"/>
            <w:noWrap w:val="0"/>
            <w:vAlign w:val="center"/>
          </w:tcPr>
          <w:p>
            <w:pPr>
              <w:spacing w:before="156" w:beforeLines="50" w:after="156" w:afterLines="50"/>
              <w:jc w:val="center"/>
              <w:rPr>
                <w:rFonts w:ascii="Times New Roman" w:hAnsi="Times New Roman"/>
                <w:szCs w:val="21"/>
              </w:rPr>
            </w:pPr>
          </w:p>
        </w:tc>
        <w:tc>
          <w:tcPr>
            <w:tcW w:w="615" w:type="dxa"/>
            <w:vMerge w:val="continue"/>
            <w:noWrap w:val="0"/>
            <w:vAlign w:val="center"/>
          </w:tcPr>
          <w:p>
            <w:pPr>
              <w:spacing w:before="156" w:beforeLines="50" w:after="156" w:afterLines="50"/>
              <w:jc w:val="center"/>
              <w:rPr>
                <w:rFonts w:ascii="Times New Roman" w:hAnsi="Times New Roman"/>
                <w:szCs w:val="21"/>
              </w:rPr>
            </w:pPr>
          </w:p>
        </w:tc>
        <w:tc>
          <w:tcPr>
            <w:tcW w:w="1420" w:type="dxa"/>
            <w:noWrap w:val="0"/>
            <w:vAlign w:val="center"/>
          </w:tcPr>
          <w:p>
            <w:pPr>
              <w:spacing w:before="156" w:beforeLines="50" w:after="156" w:afterLines="50"/>
              <w:jc w:val="left"/>
              <w:rPr>
                <w:rFonts w:ascii="Times New Roman" w:hAnsi="Times New Roman"/>
                <w:szCs w:val="21"/>
              </w:rPr>
            </w:pPr>
            <w:r>
              <w:rPr>
                <w:rFonts w:hint="eastAsia" w:ascii="Times New Roman" w:hAnsi="Times New Roman"/>
                <w:szCs w:val="21"/>
              </w:rPr>
              <w:t>厂界噪声控制</w:t>
            </w:r>
          </w:p>
        </w:tc>
        <w:tc>
          <w:tcPr>
            <w:tcW w:w="4277" w:type="dxa"/>
            <w:noWrap w:val="0"/>
            <w:vAlign w:val="center"/>
          </w:tcPr>
          <w:p>
            <w:pPr>
              <w:spacing w:before="156" w:beforeLines="50" w:after="156" w:afterLines="50"/>
              <w:jc w:val="left"/>
              <w:rPr>
                <w:rFonts w:ascii="Times New Roman" w:hAnsi="Times New Roman"/>
                <w:szCs w:val="21"/>
              </w:rPr>
            </w:pPr>
            <w:r>
              <w:rPr>
                <w:rFonts w:hint="eastAsia" w:ascii="Times New Roman" w:hAnsi="Times New Roman"/>
                <w:szCs w:val="21"/>
              </w:rPr>
              <w:t>比本规程第</w:t>
            </w:r>
            <w:r>
              <w:rPr>
                <w:rFonts w:ascii="Times New Roman" w:hAnsi="Times New Roman"/>
                <w:szCs w:val="21"/>
              </w:rPr>
              <w:t>5.4</w:t>
            </w:r>
            <w:r>
              <w:rPr>
                <w:rFonts w:hint="eastAsia" w:ascii="Times New Roman" w:hAnsi="Times New Roman"/>
                <w:szCs w:val="21"/>
              </w:rPr>
              <w:t>节规定的所属声环境昼间噪声限值低</w:t>
            </w:r>
            <w:r>
              <w:rPr>
                <w:rFonts w:ascii="Times New Roman" w:hAnsi="Times New Roman"/>
                <w:szCs w:val="21"/>
              </w:rPr>
              <w:t>5dB</w:t>
            </w:r>
            <w:r>
              <w:rPr>
                <w:rFonts w:hint="eastAsia" w:ascii="Times New Roman" w:hAnsi="Times New Roman"/>
                <w:szCs w:val="21"/>
              </w:rPr>
              <w:t>（</w:t>
            </w:r>
            <w:r>
              <w:rPr>
                <w:rFonts w:ascii="Times New Roman" w:hAnsi="Times New Roman"/>
                <w:szCs w:val="21"/>
              </w:rPr>
              <w:t>A</w:t>
            </w:r>
            <w:r>
              <w:rPr>
                <w:rFonts w:hint="eastAsia" w:ascii="Times New Roman" w:hAnsi="Times New Roman"/>
                <w:szCs w:val="21"/>
              </w:rPr>
              <w:t>）以上，或最大噪声限值</w:t>
            </w:r>
            <w:r>
              <w:rPr>
                <w:rFonts w:ascii="Times New Roman" w:hAnsi="Times New Roman"/>
                <w:szCs w:val="21"/>
              </w:rPr>
              <w:t>55dB</w:t>
            </w:r>
            <w:r>
              <w:rPr>
                <w:rFonts w:hint="eastAsia" w:ascii="Times New Roman" w:hAnsi="Times New Roman"/>
                <w:szCs w:val="21"/>
              </w:rPr>
              <w:t>（</w:t>
            </w:r>
            <w:r>
              <w:rPr>
                <w:rFonts w:ascii="Times New Roman" w:hAnsi="Times New Roman"/>
                <w:szCs w:val="21"/>
              </w:rPr>
              <w:t>A</w:t>
            </w:r>
            <w:r>
              <w:rPr>
                <w:rFonts w:hint="eastAsia" w:ascii="Times New Roman" w:hAnsi="Times New Roman"/>
                <w:szCs w:val="21"/>
              </w:rPr>
              <w:t>）。</w:t>
            </w:r>
          </w:p>
        </w:tc>
        <w:tc>
          <w:tcPr>
            <w:tcW w:w="868" w:type="dxa"/>
            <w:noWrap w:val="0"/>
            <w:vAlign w:val="center"/>
          </w:tcPr>
          <w:p>
            <w:pPr>
              <w:spacing w:before="156" w:beforeLines="50" w:after="156" w:afterLines="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89" w:type="dxa"/>
            <w:vMerge w:val="continue"/>
            <w:shd w:val="clear" w:color="auto" w:fill="D8D8D8"/>
            <w:noWrap w:val="0"/>
            <w:vAlign w:val="center"/>
          </w:tcPr>
          <w:p>
            <w:pPr>
              <w:spacing w:before="156" w:beforeLines="50" w:after="156" w:afterLines="50"/>
              <w:jc w:val="center"/>
              <w:rPr>
                <w:rFonts w:ascii="Times New Roman" w:hAnsi="Times New Roman"/>
                <w:szCs w:val="21"/>
              </w:rPr>
            </w:pPr>
          </w:p>
        </w:tc>
        <w:tc>
          <w:tcPr>
            <w:tcW w:w="789" w:type="dxa"/>
            <w:vMerge w:val="restart"/>
            <w:shd w:val="clear" w:color="auto" w:fill="D8D8D8"/>
            <w:noWrap w:val="0"/>
            <w:vAlign w:val="center"/>
          </w:tcPr>
          <w:p>
            <w:pPr>
              <w:spacing w:before="156" w:beforeLines="50" w:after="156" w:afterLines="50"/>
              <w:jc w:val="center"/>
              <w:rPr>
                <w:rFonts w:ascii="Times New Roman" w:hAnsi="Times New Roman"/>
                <w:szCs w:val="21"/>
              </w:rPr>
            </w:pPr>
            <w:r>
              <w:rPr>
                <w:rFonts w:hint="eastAsia" w:ascii="Times New Roman" w:hAnsi="Times New Roman"/>
                <w:szCs w:val="21"/>
              </w:rPr>
              <w:t>一</w:t>
            </w:r>
          </w:p>
          <w:p>
            <w:pPr>
              <w:spacing w:before="156" w:beforeLines="50" w:after="156" w:afterLines="50"/>
              <w:jc w:val="center"/>
              <w:rPr>
                <w:rFonts w:ascii="Times New Roman" w:hAnsi="Times New Roman"/>
                <w:szCs w:val="21"/>
              </w:rPr>
            </w:pPr>
            <w:r>
              <w:rPr>
                <w:rFonts w:hint="eastAsia" w:ascii="Times New Roman" w:hAnsi="Times New Roman"/>
                <w:szCs w:val="21"/>
              </w:rPr>
              <w:t>般</w:t>
            </w:r>
          </w:p>
          <w:p>
            <w:pPr>
              <w:spacing w:before="156" w:beforeLines="50" w:after="156" w:afterLines="50"/>
              <w:jc w:val="center"/>
              <w:rPr>
                <w:rFonts w:ascii="Times New Roman" w:hAnsi="Times New Roman"/>
                <w:szCs w:val="21"/>
              </w:rPr>
            </w:pPr>
            <w:r>
              <w:rPr>
                <w:rFonts w:hint="eastAsia" w:ascii="Times New Roman" w:hAnsi="Times New Roman"/>
                <w:szCs w:val="21"/>
              </w:rPr>
              <w:t>项</w:t>
            </w:r>
          </w:p>
        </w:tc>
        <w:tc>
          <w:tcPr>
            <w:tcW w:w="615" w:type="dxa"/>
            <w:vMerge w:val="restart"/>
            <w:noWrap w:val="0"/>
            <w:vAlign w:val="center"/>
          </w:tcPr>
          <w:p>
            <w:pPr>
              <w:spacing w:before="156" w:beforeLines="50" w:after="156" w:afterLines="50"/>
              <w:jc w:val="center"/>
              <w:rPr>
                <w:rFonts w:ascii="Times New Roman" w:hAnsi="Times New Roman"/>
                <w:szCs w:val="21"/>
              </w:rPr>
            </w:pPr>
            <w:r>
              <w:rPr>
                <w:rFonts w:ascii="Times New Roman" w:hAnsi="Times New Roman"/>
                <w:szCs w:val="21"/>
              </w:rPr>
              <w:t>18</w:t>
            </w:r>
          </w:p>
        </w:tc>
        <w:tc>
          <w:tcPr>
            <w:tcW w:w="1420" w:type="dxa"/>
            <w:noWrap w:val="0"/>
            <w:vAlign w:val="center"/>
          </w:tcPr>
          <w:p>
            <w:pPr>
              <w:spacing w:before="156" w:beforeLines="50" w:after="156" w:afterLines="50"/>
              <w:jc w:val="left"/>
              <w:rPr>
                <w:rFonts w:ascii="Times New Roman" w:hAnsi="Times New Roman"/>
                <w:szCs w:val="21"/>
              </w:rPr>
            </w:pPr>
            <w:r>
              <w:rPr>
                <w:rFonts w:hint="eastAsia" w:ascii="Times New Roman" w:hAnsi="Times New Roman"/>
                <w:szCs w:val="21"/>
              </w:rPr>
              <w:t>废浆和废弃混凝土控制</w:t>
            </w:r>
          </w:p>
        </w:tc>
        <w:tc>
          <w:tcPr>
            <w:tcW w:w="4277" w:type="dxa"/>
            <w:noWrap w:val="0"/>
            <w:vAlign w:val="center"/>
          </w:tcPr>
          <w:p>
            <w:pPr>
              <w:spacing w:before="156" w:beforeLines="50" w:after="156" w:afterLines="50"/>
              <w:jc w:val="left"/>
              <w:rPr>
                <w:rFonts w:ascii="Times New Roman" w:hAnsi="Times New Roman"/>
                <w:szCs w:val="21"/>
              </w:rPr>
            </w:pPr>
            <w:r>
              <w:rPr>
                <w:rFonts w:hint="eastAsia" w:ascii="Times New Roman" w:hAnsi="Times New Roman"/>
                <w:szCs w:val="21"/>
              </w:rPr>
              <w:t>废浆和废弃混凝土的回收利用率或集中消纳利用率均达到</w:t>
            </w:r>
            <w:r>
              <w:rPr>
                <w:rFonts w:ascii="Times New Roman" w:hAnsi="Times New Roman"/>
                <w:szCs w:val="21"/>
              </w:rPr>
              <w:t>90%</w:t>
            </w:r>
            <w:r>
              <w:rPr>
                <w:rFonts w:hint="eastAsia" w:ascii="Times New Roman" w:hAnsi="Times New Roman"/>
                <w:szCs w:val="21"/>
              </w:rPr>
              <w:t>以上。</w:t>
            </w:r>
          </w:p>
        </w:tc>
        <w:tc>
          <w:tcPr>
            <w:tcW w:w="868" w:type="dxa"/>
            <w:noWrap w:val="0"/>
            <w:vAlign w:val="center"/>
          </w:tcPr>
          <w:p>
            <w:pPr>
              <w:spacing w:before="156" w:beforeLines="50" w:after="156" w:afterLines="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89" w:type="dxa"/>
            <w:vMerge w:val="continue"/>
            <w:shd w:val="clear" w:color="auto" w:fill="D8D8D8"/>
            <w:noWrap w:val="0"/>
            <w:vAlign w:val="center"/>
          </w:tcPr>
          <w:p>
            <w:pPr>
              <w:spacing w:before="156" w:beforeLines="50" w:after="156" w:afterLines="50"/>
              <w:jc w:val="center"/>
              <w:rPr>
                <w:rFonts w:ascii="Times New Roman" w:hAnsi="Times New Roman"/>
                <w:szCs w:val="21"/>
              </w:rPr>
            </w:pPr>
          </w:p>
        </w:tc>
        <w:tc>
          <w:tcPr>
            <w:tcW w:w="789" w:type="dxa"/>
            <w:vMerge w:val="continue"/>
            <w:shd w:val="clear" w:color="auto" w:fill="D8D8D8"/>
            <w:noWrap w:val="0"/>
            <w:vAlign w:val="center"/>
          </w:tcPr>
          <w:p>
            <w:pPr>
              <w:spacing w:before="156" w:beforeLines="50" w:after="156" w:afterLines="50"/>
              <w:jc w:val="center"/>
              <w:rPr>
                <w:rFonts w:ascii="Times New Roman" w:hAnsi="Times New Roman"/>
                <w:szCs w:val="21"/>
              </w:rPr>
            </w:pPr>
          </w:p>
        </w:tc>
        <w:tc>
          <w:tcPr>
            <w:tcW w:w="615" w:type="dxa"/>
            <w:vMerge w:val="continue"/>
            <w:noWrap w:val="0"/>
            <w:vAlign w:val="center"/>
          </w:tcPr>
          <w:p>
            <w:pPr>
              <w:spacing w:before="156" w:beforeLines="50" w:after="156" w:afterLines="50"/>
              <w:jc w:val="center"/>
              <w:rPr>
                <w:rFonts w:ascii="Times New Roman" w:hAnsi="Times New Roman"/>
                <w:szCs w:val="21"/>
              </w:rPr>
            </w:pPr>
          </w:p>
        </w:tc>
        <w:tc>
          <w:tcPr>
            <w:tcW w:w="1420" w:type="dxa"/>
            <w:noWrap w:val="0"/>
            <w:vAlign w:val="center"/>
          </w:tcPr>
          <w:p>
            <w:pPr>
              <w:spacing w:before="156" w:beforeLines="50" w:after="156" w:afterLines="50"/>
              <w:jc w:val="left"/>
              <w:rPr>
                <w:rFonts w:ascii="Times New Roman" w:hAnsi="Times New Roman"/>
                <w:szCs w:val="21"/>
              </w:rPr>
            </w:pPr>
            <w:r>
              <w:rPr>
                <w:rFonts w:hint="eastAsia" w:ascii="Times New Roman" w:hAnsi="Times New Roman"/>
                <w:szCs w:val="21"/>
              </w:rPr>
              <w:t>厂区内生产性粉尘控制</w:t>
            </w:r>
          </w:p>
        </w:tc>
        <w:tc>
          <w:tcPr>
            <w:tcW w:w="4277" w:type="dxa"/>
            <w:noWrap w:val="0"/>
            <w:vAlign w:val="center"/>
          </w:tcPr>
          <w:p>
            <w:pPr>
              <w:spacing w:before="156" w:beforeLines="50" w:after="156" w:afterLines="50"/>
              <w:jc w:val="left"/>
              <w:rPr>
                <w:rFonts w:ascii="Times New Roman" w:hAnsi="Times New Roman"/>
                <w:szCs w:val="21"/>
              </w:rPr>
            </w:pPr>
            <w:r>
              <w:rPr>
                <w:rFonts w:hint="eastAsia" w:ascii="Times New Roman" w:hAnsi="Times New Roman"/>
                <w:szCs w:val="21"/>
              </w:rPr>
              <w:t>厂区内无组织排放总悬浮颗粒物的</w:t>
            </w:r>
            <w:r>
              <w:rPr>
                <w:rFonts w:ascii="Times New Roman" w:hAnsi="Times New Roman"/>
                <w:szCs w:val="21"/>
              </w:rPr>
              <w:t>1h</w:t>
            </w:r>
            <w:r>
              <w:rPr>
                <w:rFonts w:hint="eastAsia" w:ascii="Times New Roman" w:hAnsi="Times New Roman"/>
                <w:szCs w:val="21"/>
              </w:rPr>
              <w:t>平均浓度限值符合下列规定：混凝土搅拌站（楼）的计量层和搅拌层不应大于</w:t>
            </w:r>
            <w:r>
              <w:rPr>
                <w:rFonts w:ascii="Times New Roman" w:hAnsi="Times New Roman"/>
                <w:szCs w:val="21"/>
              </w:rPr>
              <w:t>800μg/m</w:t>
            </w:r>
            <w:r>
              <w:rPr>
                <w:rFonts w:ascii="Times New Roman" w:hAnsi="Times New Roman"/>
                <w:szCs w:val="21"/>
                <w:vertAlign w:val="superscript"/>
              </w:rPr>
              <w:t>3</w:t>
            </w:r>
            <w:r>
              <w:rPr>
                <w:rFonts w:hint="eastAsia" w:ascii="Times New Roman" w:hAnsi="Times New Roman"/>
                <w:szCs w:val="21"/>
              </w:rPr>
              <w:t>；骨料堆场不应大于</w:t>
            </w:r>
            <w:r>
              <w:rPr>
                <w:rFonts w:ascii="Times New Roman" w:hAnsi="Times New Roman"/>
                <w:szCs w:val="21"/>
              </w:rPr>
              <w:t>600μg/m</w:t>
            </w:r>
            <w:r>
              <w:rPr>
                <w:rFonts w:ascii="Times New Roman" w:hAnsi="Times New Roman"/>
                <w:szCs w:val="21"/>
                <w:vertAlign w:val="superscript"/>
              </w:rPr>
              <w:t>3</w:t>
            </w:r>
            <w:r>
              <w:rPr>
                <w:rFonts w:ascii="Times New Roman" w:hAnsi="Times New Roman"/>
                <w:szCs w:val="21"/>
              </w:rPr>
              <w:t>.</w:t>
            </w:r>
          </w:p>
        </w:tc>
        <w:tc>
          <w:tcPr>
            <w:tcW w:w="868" w:type="dxa"/>
            <w:noWrap w:val="0"/>
            <w:vAlign w:val="center"/>
          </w:tcPr>
          <w:p>
            <w:pPr>
              <w:spacing w:before="156" w:beforeLines="50" w:after="156" w:afterLines="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89" w:type="dxa"/>
            <w:vMerge w:val="continue"/>
            <w:shd w:val="clear" w:color="auto" w:fill="D8D8D8"/>
            <w:noWrap w:val="0"/>
            <w:vAlign w:val="center"/>
          </w:tcPr>
          <w:p>
            <w:pPr>
              <w:spacing w:before="156" w:beforeLines="50" w:after="156" w:afterLines="50"/>
              <w:jc w:val="center"/>
              <w:rPr>
                <w:rFonts w:ascii="Times New Roman" w:hAnsi="Times New Roman"/>
                <w:szCs w:val="21"/>
              </w:rPr>
            </w:pPr>
          </w:p>
        </w:tc>
        <w:tc>
          <w:tcPr>
            <w:tcW w:w="789" w:type="dxa"/>
            <w:vMerge w:val="continue"/>
            <w:shd w:val="clear" w:color="auto" w:fill="D8D8D8"/>
            <w:noWrap w:val="0"/>
            <w:vAlign w:val="center"/>
          </w:tcPr>
          <w:p>
            <w:pPr>
              <w:spacing w:before="156" w:beforeLines="50" w:after="156" w:afterLines="50"/>
              <w:jc w:val="center"/>
              <w:rPr>
                <w:rFonts w:ascii="Times New Roman" w:hAnsi="Times New Roman"/>
                <w:szCs w:val="21"/>
              </w:rPr>
            </w:pPr>
          </w:p>
        </w:tc>
        <w:tc>
          <w:tcPr>
            <w:tcW w:w="615" w:type="dxa"/>
            <w:vMerge w:val="continue"/>
            <w:noWrap w:val="0"/>
            <w:vAlign w:val="center"/>
          </w:tcPr>
          <w:p>
            <w:pPr>
              <w:spacing w:before="156" w:beforeLines="50" w:after="156" w:afterLines="50"/>
              <w:jc w:val="center"/>
              <w:rPr>
                <w:rFonts w:ascii="Times New Roman" w:hAnsi="Times New Roman"/>
                <w:szCs w:val="21"/>
              </w:rPr>
            </w:pPr>
          </w:p>
        </w:tc>
        <w:tc>
          <w:tcPr>
            <w:tcW w:w="1420" w:type="dxa"/>
            <w:noWrap w:val="0"/>
            <w:vAlign w:val="center"/>
          </w:tcPr>
          <w:p>
            <w:pPr>
              <w:spacing w:before="156" w:beforeLines="50" w:after="156" w:afterLines="50"/>
              <w:jc w:val="left"/>
              <w:rPr>
                <w:rFonts w:ascii="Times New Roman" w:hAnsi="Times New Roman"/>
                <w:szCs w:val="21"/>
              </w:rPr>
            </w:pPr>
            <w:r>
              <w:rPr>
                <w:rFonts w:hint="eastAsia" w:ascii="Times New Roman" w:hAnsi="Times New Roman"/>
                <w:szCs w:val="21"/>
              </w:rPr>
              <w:t>厂区内噪声控制</w:t>
            </w:r>
          </w:p>
        </w:tc>
        <w:tc>
          <w:tcPr>
            <w:tcW w:w="4277" w:type="dxa"/>
            <w:noWrap w:val="0"/>
            <w:vAlign w:val="center"/>
          </w:tcPr>
          <w:p>
            <w:pPr>
              <w:spacing w:before="156" w:beforeLines="50" w:after="156" w:afterLines="50"/>
              <w:jc w:val="left"/>
              <w:rPr>
                <w:rFonts w:ascii="Times New Roman" w:hAnsi="Times New Roman"/>
                <w:szCs w:val="21"/>
              </w:rPr>
            </w:pPr>
            <w:r>
              <w:rPr>
                <w:rFonts w:hint="eastAsia" w:ascii="Times New Roman" w:hAnsi="Times New Roman"/>
                <w:szCs w:val="21"/>
              </w:rPr>
              <w:t>厂区内噪声敏感建筑物的环境噪声最大限值（</w:t>
            </w:r>
            <w:r>
              <w:rPr>
                <w:rFonts w:ascii="Times New Roman" w:hAnsi="Times New Roman"/>
                <w:szCs w:val="21"/>
              </w:rPr>
              <w:t>dB</w:t>
            </w:r>
            <w:r>
              <w:rPr>
                <w:rFonts w:hint="eastAsia" w:ascii="Times New Roman" w:hAnsi="Times New Roman"/>
                <w:szCs w:val="21"/>
              </w:rPr>
              <w:t>（</w:t>
            </w:r>
            <w:r>
              <w:rPr>
                <w:rFonts w:ascii="Times New Roman" w:hAnsi="Times New Roman"/>
                <w:szCs w:val="21"/>
              </w:rPr>
              <w:t>A</w:t>
            </w:r>
            <w:r>
              <w:rPr>
                <w:rFonts w:hint="eastAsia" w:ascii="Times New Roman" w:hAnsi="Times New Roman"/>
                <w:szCs w:val="21"/>
              </w:rPr>
              <w:t>））符合下列规定：昼间生活区</w:t>
            </w:r>
            <w:r>
              <w:rPr>
                <w:rFonts w:ascii="Times New Roman" w:hAnsi="Times New Roman"/>
                <w:szCs w:val="21"/>
              </w:rPr>
              <w:t>55</w:t>
            </w:r>
            <w:r>
              <w:rPr>
                <w:rFonts w:hint="eastAsia" w:ascii="Times New Roman" w:hAnsi="Times New Roman"/>
                <w:szCs w:val="21"/>
              </w:rPr>
              <w:t>，办公区</w:t>
            </w:r>
            <w:r>
              <w:rPr>
                <w:rFonts w:ascii="Times New Roman" w:hAnsi="Times New Roman"/>
                <w:szCs w:val="21"/>
              </w:rPr>
              <w:t>60</w:t>
            </w:r>
            <w:r>
              <w:rPr>
                <w:rFonts w:hint="eastAsia" w:ascii="Times New Roman" w:hAnsi="Times New Roman"/>
                <w:szCs w:val="21"/>
              </w:rPr>
              <w:t>；夜间生活区</w:t>
            </w:r>
            <w:r>
              <w:rPr>
                <w:rFonts w:ascii="Times New Roman" w:hAnsi="Times New Roman"/>
                <w:szCs w:val="21"/>
              </w:rPr>
              <w:t>45</w:t>
            </w:r>
            <w:r>
              <w:rPr>
                <w:rFonts w:hint="eastAsia" w:ascii="Times New Roman" w:hAnsi="Times New Roman"/>
                <w:szCs w:val="21"/>
              </w:rPr>
              <w:t>，办公区</w:t>
            </w:r>
            <w:r>
              <w:rPr>
                <w:rFonts w:ascii="Times New Roman" w:hAnsi="Times New Roman"/>
                <w:szCs w:val="21"/>
              </w:rPr>
              <w:t>50</w:t>
            </w:r>
            <w:r>
              <w:rPr>
                <w:rFonts w:hint="eastAsia" w:ascii="Times New Roman" w:hAnsi="Times New Roman"/>
                <w:szCs w:val="21"/>
              </w:rPr>
              <w:t>。</w:t>
            </w:r>
          </w:p>
        </w:tc>
        <w:tc>
          <w:tcPr>
            <w:tcW w:w="868" w:type="dxa"/>
            <w:noWrap w:val="0"/>
            <w:vAlign w:val="center"/>
          </w:tcPr>
          <w:p>
            <w:pPr>
              <w:spacing w:before="156" w:beforeLines="50" w:after="156" w:afterLines="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89" w:type="dxa"/>
            <w:vMerge w:val="continue"/>
            <w:shd w:val="clear" w:color="auto" w:fill="D8D8D8"/>
            <w:noWrap w:val="0"/>
            <w:vAlign w:val="center"/>
          </w:tcPr>
          <w:p>
            <w:pPr>
              <w:spacing w:before="156" w:beforeLines="50" w:after="156" w:afterLines="50"/>
              <w:jc w:val="center"/>
              <w:rPr>
                <w:rFonts w:ascii="Times New Roman" w:hAnsi="Times New Roman"/>
                <w:szCs w:val="21"/>
              </w:rPr>
            </w:pPr>
          </w:p>
        </w:tc>
        <w:tc>
          <w:tcPr>
            <w:tcW w:w="789" w:type="dxa"/>
            <w:vMerge w:val="continue"/>
            <w:shd w:val="clear" w:color="auto" w:fill="D8D8D8"/>
            <w:noWrap w:val="0"/>
            <w:vAlign w:val="center"/>
          </w:tcPr>
          <w:p>
            <w:pPr>
              <w:spacing w:before="156" w:beforeLines="50" w:after="156" w:afterLines="50"/>
              <w:jc w:val="center"/>
              <w:rPr>
                <w:rFonts w:ascii="Times New Roman" w:hAnsi="Times New Roman"/>
                <w:szCs w:val="21"/>
              </w:rPr>
            </w:pPr>
          </w:p>
        </w:tc>
        <w:tc>
          <w:tcPr>
            <w:tcW w:w="615" w:type="dxa"/>
            <w:vMerge w:val="continue"/>
            <w:noWrap w:val="0"/>
            <w:vAlign w:val="center"/>
          </w:tcPr>
          <w:p>
            <w:pPr>
              <w:spacing w:before="156" w:beforeLines="50" w:after="156" w:afterLines="50"/>
              <w:jc w:val="center"/>
              <w:rPr>
                <w:rFonts w:ascii="Times New Roman" w:hAnsi="Times New Roman"/>
                <w:szCs w:val="21"/>
              </w:rPr>
            </w:pPr>
          </w:p>
        </w:tc>
        <w:tc>
          <w:tcPr>
            <w:tcW w:w="1420" w:type="dxa"/>
            <w:noWrap w:val="0"/>
            <w:vAlign w:val="center"/>
          </w:tcPr>
          <w:p>
            <w:pPr>
              <w:spacing w:before="156" w:beforeLines="50" w:after="156" w:afterLines="50"/>
              <w:jc w:val="left"/>
              <w:rPr>
                <w:rFonts w:ascii="Times New Roman" w:hAnsi="Times New Roman"/>
                <w:szCs w:val="21"/>
              </w:rPr>
            </w:pPr>
            <w:r>
              <w:rPr>
                <w:rFonts w:hint="eastAsia" w:ascii="Times New Roman" w:hAnsi="Times New Roman"/>
                <w:szCs w:val="21"/>
              </w:rPr>
              <w:t>环境管理</w:t>
            </w:r>
          </w:p>
        </w:tc>
        <w:tc>
          <w:tcPr>
            <w:tcW w:w="4277" w:type="dxa"/>
            <w:noWrap w:val="0"/>
            <w:vAlign w:val="center"/>
          </w:tcPr>
          <w:p>
            <w:pPr>
              <w:spacing w:before="156" w:beforeLines="50" w:after="156" w:afterLines="50"/>
              <w:jc w:val="left"/>
              <w:rPr>
                <w:rFonts w:ascii="Times New Roman" w:hAnsi="Times New Roman"/>
                <w:szCs w:val="21"/>
              </w:rPr>
            </w:pPr>
            <w:r>
              <w:rPr>
                <w:rFonts w:hint="eastAsia" w:ascii="Times New Roman" w:hAnsi="Times New Roman"/>
                <w:szCs w:val="21"/>
              </w:rPr>
              <w:t>应符合现行国家标准《环境管理体系</w:t>
            </w:r>
            <w:r>
              <w:rPr>
                <w:rFonts w:ascii="Times New Roman" w:hAnsi="Times New Roman"/>
                <w:szCs w:val="21"/>
              </w:rPr>
              <w:t xml:space="preserve"> </w:t>
            </w:r>
            <w:r>
              <w:rPr>
                <w:rFonts w:hint="eastAsia" w:ascii="Times New Roman" w:hAnsi="Times New Roman"/>
                <w:szCs w:val="21"/>
              </w:rPr>
              <w:t>要求及使用指南》</w:t>
            </w:r>
            <w:r>
              <w:rPr>
                <w:rFonts w:ascii="Times New Roman" w:hAnsi="Times New Roman"/>
                <w:szCs w:val="21"/>
              </w:rPr>
              <w:t>GB/T24001</w:t>
            </w:r>
            <w:r>
              <w:rPr>
                <w:rFonts w:hint="eastAsia" w:ascii="Times New Roman" w:hAnsi="Times New Roman"/>
                <w:szCs w:val="21"/>
              </w:rPr>
              <w:t>规定。</w:t>
            </w:r>
          </w:p>
        </w:tc>
        <w:tc>
          <w:tcPr>
            <w:tcW w:w="868" w:type="dxa"/>
            <w:noWrap w:val="0"/>
            <w:vAlign w:val="center"/>
          </w:tcPr>
          <w:p>
            <w:pPr>
              <w:spacing w:before="156" w:beforeLines="50" w:after="156" w:afterLines="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89" w:type="dxa"/>
            <w:vMerge w:val="continue"/>
            <w:shd w:val="clear" w:color="auto" w:fill="D8D8D8"/>
            <w:noWrap w:val="0"/>
            <w:vAlign w:val="center"/>
          </w:tcPr>
          <w:p>
            <w:pPr>
              <w:spacing w:before="156" w:beforeLines="50" w:after="156" w:afterLines="50"/>
              <w:jc w:val="center"/>
              <w:rPr>
                <w:rFonts w:ascii="Times New Roman" w:hAnsi="Times New Roman"/>
                <w:szCs w:val="21"/>
              </w:rPr>
            </w:pPr>
          </w:p>
        </w:tc>
        <w:tc>
          <w:tcPr>
            <w:tcW w:w="789" w:type="dxa"/>
            <w:vMerge w:val="continue"/>
            <w:shd w:val="clear" w:color="auto" w:fill="D8D8D8"/>
            <w:noWrap w:val="0"/>
            <w:vAlign w:val="center"/>
          </w:tcPr>
          <w:p>
            <w:pPr>
              <w:spacing w:before="156" w:beforeLines="50" w:after="156" w:afterLines="50"/>
              <w:jc w:val="center"/>
              <w:rPr>
                <w:rFonts w:ascii="Times New Roman" w:hAnsi="Times New Roman"/>
                <w:szCs w:val="21"/>
              </w:rPr>
            </w:pPr>
          </w:p>
        </w:tc>
        <w:tc>
          <w:tcPr>
            <w:tcW w:w="615" w:type="dxa"/>
            <w:vMerge w:val="continue"/>
            <w:noWrap w:val="0"/>
            <w:vAlign w:val="center"/>
          </w:tcPr>
          <w:p>
            <w:pPr>
              <w:spacing w:before="156" w:beforeLines="50" w:after="156" w:afterLines="50"/>
              <w:jc w:val="center"/>
              <w:rPr>
                <w:rFonts w:ascii="Times New Roman" w:hAnsi="Times New Roman"/>
                <w:szCs w:val="21"/>
              </w:rPr>
            </w:pPr>
          </w:p>
        </w:tc>
        <w:tc>
          <w:tcPr>
            <w:tcW w:w="1420" w:type="dxa"/>
            <w:noWrap w:val="0"/>
            <w:vAlign w:val="center"/>
          </w:tcPr>
          <w:p>
            <w:pPr>
              <w:spacing w:before="156" w:beforeLines="50" w:after="156" w:afterLines="50"/>
              <w:jc w:val="left"/>
              <w:rPr>
                <w:rFonts w:ascii="Times New Roman" w:hAnsi="Times New Roman"/>
                <w:szCs w:val="21"/>
              </w:rPr>
            </w:pPr>
            <w:r>
              <w:rPr>
                <w:rFonts w:hint="eastAsia" w:ascii="Times New Roman" w:hAnsi="Times New Roman"/>
                <w:szCs w:val="21"/>
              </w:rPr>
              <w:t>质量管理</w:t>
            </w:r>
          </w:p>
        </w:tc>
        <w:tc>
          <w:tcPr>
            <w:tcW w:w="4277" w:type="dxa"/>
            <w:noWrap w:val="0"/>
            <w:vAlign w:val="center"/>
          </w:tcPr>
          <w:p>
            <w:pPr>
              <w:spacing w:before="156" w:beforeLines="50" w:after="156" w:afterLines="50"/>
              <w:jc w:val="left"/>
              <w:rPr>
                <w:rFonts w:ascii="Times New Roman" w:hAnsi="Times New Roman"/>
                <w:szCs w:val="21"/>
              </w:rPr>
            </w:pPr>
            <w:r>
              <w:rPr>
                <w:rFonts w:hint="eastAsia" w:ascii="Times New Roman" w:hAnsi="Times New Roman"/>
                <w:szCs w:val="21"/>
              </w:rPr>
              <w:t>应符合现行国家标准《质量管理体系</w:t>
            </w:r>
            <w:r>
              <w:rPr>
                <w:rFonts w:ascii="Times New Roman" w:hAnsi="Times New Roman"/>
                <w:szCs w:val="21"/>
              </w:rPr>
              <w:t xml:space="preserve"> </w:t>
            </w:r>
            <w:r>
              <w:rPr>
                <w:rFonts w:hint="eastAsia" w:ascii="Times New Roman" w:hAnsi="Times New Roman"/>
                <w:szCs w:val="21"/>
              </w:rPr>
              <w:t>要求》</w:t>
            </w:r>
            <w:r>
              <w:rPr>
                <w:rFonts w:ascii="Times New Roman" w:hAnsi="Times New Roman"/>
                <w:szCs w:val="21"/>
              </w:rPr>
              <w:t>GB/T19001</w:t>
            </w:r>
            <w:r>
              <w:rPr>
                <w:rFonts w:hint="eastAsia" w:ascii="Times New Roman" w:hAnsi="Times New Roman"/>
                <w:szCs w:val="21"/>
              </w:rPr>
              <w:t>规定。</w:t>
            </w:r>
          </w:p>
        </w:tc>
        <w:tc>
          <w:tcPr>
            <w:tcW w:w="868" w:type="dxa"/>
            <w:noWrap w:val="0"/>
            <w:vAlign w:val="center"/>
          </w:tcPr>
          <w:p>
            <w:pPr>
              <w:spacing w:before="156" w:beforeLines="50" w:after="156" w:afterLines="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578" w:type="dxa"/>
            <w:gridSpan w:val="2"/>
            <w:shd w:val="clear" w:color="auto" w:fill="D8D8D8"/>
            <w:noWrap w:val="0"/>
            <w:vAlign w:val="center"/>
          </w:tcPr>
          <w:p>
            <w:pPr>
              <w:jc w:val="center"/>
              <w:rPr>
                <w:rFonts w:ascii="Times New Roman" w:hAnsi="Times New Roman"/>
                <w:szCs w:val="21"/>
              </w:rPr>
            </w:pPr>
            <w:r>
              <w:rPr>
                <w:rFonts w:hint="eastAsia" w:ascii="Times New Roman" w:hAnsi="Times New Roman"/>
                <w:b/>
                <w:bCs/>
                <w:szCs w:val="21"/>
              </w:rPr>
              <w:t>专项要求总得分</w:t>
            </w:r>
          </w:p>
        </w:tc>
        <w:tc>
          <w:tcPr>
            <w:tcW w:w="7180" w:type="dxa"/>
            <w:gridSpan w:val="4"/>
            <w:shd w:val="clear" w:color="auto" w:fill="D8D8D8"/>
            <w:noWrap w:val="0"/>
            <w:vAlign w:val="center"/>
          </w:tcPr>
          <w:p>
            <w:pPr>
              <w:jc w:val="left"/>
              <w:rPr>
                <w:szCs w:val="21"/>
              </w:rPr>
            </w:pPr>
            <w:r>
              <w:rPr>
                <w:rFonts w:hint="eastAsia" w:ascii="Times New Roman" w:hAnsi="Times New Roman"/>
                <w:b/>
                <w:bCs/>
                <w:szCs w:val="21"/>
              </w:rPr>
              <w:t>专项要求评价得分为：</w:t>
            </w:r>
            <w:r>
              <w:rPr>
                <w:rFonts w:ascii="Times New Roman" w:hAnsi="Times New Roman"/>
                <w:b/>
                <w:bCs/>
                <w:szCs w:val="21"/>
                <w:u w:val="single"/>
              </w:rPr>
              <w:t xml:space="preserve">         </w:t>
            </w:r>
            <w:r>
              <w:rPr>
                <w:rFonts w:hint="eastAsia" w:ascii="Times New Roman" w:hAnsi="Times New Roman"/>
                <w:b/>
                <w:bCs/>
                <w:szCs w:val="21"/>
              </w:rPr>
              <w:t>。</w:t>
            </w:r>
          </w:p>
        </w:tc>
      </w:tr>
    </w:tbl>
    <w:p>
      <w:pPr>
        <w:rPr>
          <w:rFonts w:ascii="宋体" w:cs="宋体"/>
          <w:szCs w:val="21"/>
        </w:rPr>
      </w:pPr>
    </w:p>
    <w:p>
      <w:pPr>
        <w:rPr>
          <w:rFonts w:hint="eastAsia" w:ascii="宋体" w:cs="宋体"/>
          <w:szCs w:val="21"/>
        </w:rPr>
      </w:pPr>
    </w:p>
    <w:p>
      <w:pPr>
        <w:rPr>
          <w:rFonts w:hint="eastAsia" w:ascii="宋体" w:cs="宋体"/>
          <w:szCs w:val="21"/>
        </w:rPr>
      </w:pPr>
    </w:p>
    <w:p>
      <w:pPr>
        <w:rPr>
          <w:rFonts w:hint="eastAsia" w:ascii="宋体" w:cs="宋体"/>
          <w:szCs w:val="21"/>
        </w:rPr>
      </w:pP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r>
        <w:rPr>
          <w:rFonts w:hint="eastAsia" w:ascii="方正小标宋简体" w:hAnsi="方正小标宋简体" w:eastAsia="方正小标宋简体" w:cs="方正小标宋简体"/>
          <w:b w:val="0"/>
          <w:bCs w:val="0"/>
          <w:color w:val="000000"/>
          <w:kern w:val="44"/>
          <w:sz w:val="32"/>
          <w:szCs w:val="32"/>
        </w:rPr>
        <w:t>绿色生产评价专项要求评价表C</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50"/>
        <w:gridCol w:w="585"/>
        <w:gridCol w:w="1350"/>
        <w:gridCol w:w="720"/>
        <w:gridCol w:w="406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shd w:val="clear" w:color="auto" w:fill="D8D8D8"/>
            <w:noWrap w:val="0"/>
            <w:vAlign w:val="center"/>
          </w:tcPr>
          <w:p>
            <w:pPr>
              <w:jc w:val="center"/>
              <w:rPr>
                <w:rFonts w:ascii="Times New Roman" w:hAnsi="Times New Roman"/>
                <w:b/>
                <w:bCs/>
                <w:szCs w:val="21"/>
              </w:rPr>
            </w:pPr>
            <w:r>
              <w:rPr>
                <w:rFonts w:hint="eastAsia" w:ascii="Times New Roman" w:hAnsi="Times New Roman"/>
                <w:b/>
                <w:bCs/>
                <w:szCs w:val="21"/>
              </w:rPr>
              <w:t>评价指标</w:t>
            </w:r>
          </w:p>
        </w:tc>
        <w:tc>
          <w:tcPr>
            <w:tcW w:w="750" w:type="dxa"/>
            <w:shd w:val="clear" w:color="auto" w:fill="D8D8D8"/>
            <w:noWrap w:val="0"/>
            <w:vAlign w:val="center"/>
          </w:tcPr>
          <w:p>
            <w:pPr>
              <w:jc w:val="center"/>
              <w:rPr>
                <w:rFonts w:ascii="Times New Roman" w:hAnsi="Times New Roman"/>
                <w:b/>
                <w:bCs/>
                <w:szCs w:val="21"/>
              </w:rPr>
            </w:pPr>
            <w:r>
              <w:rPr>
                <w:rFonts w:hint="eastAsia" w:ascii="Times New Roman" w:hAnsi="Times New Roman"/>
                <w:b/>
                <w:bCs/>
                <w:szCs w:val="21"/>
              </w:rPr>
              <w:t>指标类型</w:t>
            </w:r>
          </w:p>
        </w:tc>
        <w:tc>
          <w:tcPr>
            <w:tcW w:w="585" w:type="dxa"/>
            <w:shd w:val="clear" w:color="auto" w:fill="D8D8D8"/>
            <w:noWrap w:val="0"/>
            <w:vAlign w:val="center"/>
          </w:tcPr>
          <w:p>
            <w:pPr>
              <w:jc w:val="center"/>
              <w:rPr>
                <w:rFonts w:ascii="Times New Roman" w:hAnsi="Times New Roman"/>
                <w:b/>
                <w:bCs/>
                <w:szCs w:val="21"/>
              </w:rPr>
            </w:pPr>
            <w:r>
              <w:rPr>
                <w:rFonts w:hint="eastAsia" w:ascii="Times New Roman" w:hAnsi="Times New Roman"/>
                <w:b/>
                <w:bCs/>
                <w:szCs w:val="21"/>
              </w:rPr>
              <w:t>分值</w:t>
            </w:r>
          </w:p>
        </w:tc>
        <w:tc>
          <w:tcPr>
            <w:tcW w:w="1350" w:type="dxa"/>
            <w:shd w:val="clear" w:color="auto" w:fill="D8D8D8"/>
            <w:noWrap w:val="0"/>
            <w:vAlign w:val="center"/>
          </w:tcPr>
          <w:p>
            <w:pPr>
              <w:jc w:val="center"/>
              <w:rPr>
                <w:rFonts w:ascii="Times New Roman" w:hAnsi="Times New Roman"/>
                <w:b/>
                <w:bCs/>
                <w:szCs w:val="21"/>
              </w:rPr>
            </w:pPr>
            <w:r>
              <w:rPr>
                <w:rFonts w:hint="eastAsia" w:ascii="Times New Roman" w:hAnsi="Times New Roman"/>
                <w:b/>
                <w:bCs/>
                <w:szCs w:val="21"/>
              </w:rPr>
              <w:t>分项评价内容</w:t>
            </w:r>
          </w:p>
        </w:tc>
        <w:tc>
          <w:tcPr>
            <w:tcW w:w="720" w:type="dxa"/>
            <w:shd w:val="clear" w:color="auto" w:fill="D8D8D8"/>
            <w:noWrap w:val="0"/>
            <w:vAlign w:val="center"/>
          </w:tcPr>
          <w:p>
            <w:pPr>
              <w:jc w:val="center"/>
              <w:rPr>
                <w:rFonts w:ascii="Times New Roman" w:hAnsi="Times New Roman"/>
                <w:b/>
                <w:bCs/>
                <w:szCs w:val="21"/>
              </w:rPr>
            </w:pPr>
            <w:r>
              <w:rPr>
                <w:rFonts w:hint="eastAsia" w:ascii="Times New Roman" w:hAnsi="Times New Roman"/>
                <w:b/>
                <w:bCs/>
                <w:szCs w:val="21"/>
              </w:rPr>
              <w:t>分项分值</w:t>
            </w:r>
          </w:p>
        </w:tc>
        <w:tc>
          <w:tcPr>
            <w:tcW w:w="4065" w:type="dxa"/>
            <w:shd w:val="clear" w:color="auto" w:fill="D8D8D8"/>
            <w:noWrap w:val="0"/>
            <w:vAlign w:val="center"/>
          </w:tcPr>
          <w:p>
            <w:pPr>
              <w:jc w:val="center"/>
              <w:rPr>
                <w:rFonts w:ascii="Times New Roman" w:hAnsi="Times New Roman"/>
                <w:b/>
                <w:bCs/>
                <w:szCs w:val="21"/>
              </w:rPr>
            </w:pPr>
            <w:r>
              <w:rPr>
                <w:rFonts w:hint="eastAsia" w:ascii="Times New Roman" w:hAnsi="Times New Roman"/>
                <w:b/>
                <w:bCs/>
                <w:szCs w:val="21"/>
              </w:rPr>
              <w:t>评价要素</w:t>
            </w:r>
          </w:p>
        </w:tc>
        <w:tc>
          <w:tcPr>
            <w:tcW w:w="825" w:type="dxa"/>
            <w:shd w:val="clear" w:color="auto" w:fill="D8D8D8"/>
            <w:noWrap w:val="0"/>
            <w:vAlign w:val="center"/>
          </w:tcPr>
          <w:p>
            <w:pPr>
              <w:jc w:val="center"/>
              <w:rPr>
                <w:rFonts w:ascii="Times New Roman" w:hAnsi="Times New Roman"/>
                <w:b/>
                <w:bCs/>
                <w:szCs w:val="21"/>
              </w:rPr>
            </w:pPr>
            <w:r>
              <w:rPr>
                <w:rFonts w:hint="eastAsia" w:ascii="Times New Roman" w:hAnsi="Times New Roman"/>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50" w:type="dxa"/>
            <w:vMerge w:val="restart"/>
            <w:shd w:val="clear" w:color="auto" w:fill="D8D8D8"/>
            <w:noWrap w:val="0"/>
            <w:vAlign w:val="center"/>
          </w:tcPr>
          <w:p>
            <w:pPr>
              <w:jc w:val="center"/>
              <w:rPr>
                <w:rFonts w:ascii="Times New Roman" w:hAnsi="Times New Roman"/>
                <w:b/>
                <w:bCs/>
                <w:szCs w:val="21"/>
              </w:rPr>
            </w:pPr>
            <w:r>
              <w:rPr>
                <w:rFonts w:hint="eastAsia" w:ascii="Times New Roman" w:hAnsi="Times New Roman"/>
                <w:b/>
                <w:bCs/>
                <w:szCs w:val="21"/>
              </w:rPr>
              <w:t>控</w:t>
            </w:r>
          </w:p>
          <w:p>
            <w:pPr>
              <w:jc w:val="center"/>
              <w:rPr>
                <w:rFonts w:ascii="Times New Roman" w:hAnsi="Times New Roman"/>
                <w:b/>
                <w:bCs/>
                <w:szCs w:val="21"/>
              </w:rPr>
            </w:pPr>
            <w:r>
              <w:rPr>
                <w:rFonts w:hint="eastAsia" w:ascii="Times New Roman" w:hAnsi="Times New Roman"/>
                <w:b/>
                <w:bCs/>
                <w:szCs w:val="21"/>
              </w:rPr>
              <w:t>制</w:t>
            </w:r>
          </w:p>
          <w:p>
            <w:pPr>
              <w:jc w:val="center"/>
              <w:rPr>
                <w:rFonts w:ascii="Times New Roman" w:hAnsi="Times New Roman"/>
                <w:b/>
                <w:bCs/>
                <w:szCs w:val="21"/>
              </w:rPr>
            </w:pPr>
            <w:r>
              <w:rPr>
                <w:rFonts w:hint="eastAsia" w:ascii="Times New Roman" w:hAnsi="Times New Roman"/>
                <w:b/>
                <w:bCs/>
                <w:szCs w:val="21"/>
              </w:rPr>
              <w:t>技</w:t>
            </w:r>
          </w:p>
          <w:p>
            <w:pPr>
              <w:jc w:val="center"/>
              <w:rPr>
                <w:rFonts w:ascii="Times New Roman" w:hAnsi="Times New Roman"/>
                <w:szCs w:val="21"/>
              </w:rPr>
            </w:pPr>
            <w:r>
              <w:rPr>
                <w:rFonts w:hint="eastAsia" w:ascii="Times New Roman" w:hAnsi="Times New Roman"/>
                <w:b/>
                <w:bCs/>
                <w:szCs w:val="21"/>
              </w:rPr>
              <w:t>术</w:t>
            </w:r>
          </w:p>
        </w:tc>
        <w:tc>
          <w:tcPr>
            <w:tcW w:w="750" w:type="dxa"/>
            <w:vMerge w:val="restart"/>
            <w:shd w:val="clear" w:color="auto" w:fill="D8D8D8"/>
            <w:noWrap w:val="0"/>
            <w:vAlign w:val="center"/>
          </w:tcPr>
          <w:p>
            <w:pPr>
              <w:jc w:val="center"/>
              <w:rPr>
                <w:rFonts w:ascii="Times New Roman" w:hAnsi="Times New Roman"/>
                <w:szCs w:val="21"/>
              </w:rPr>
            </w:pPr>
            <w:r>
              <w:rPr>
                <w:rFonts w:hint="eastAsia" w:ascii="Times New Roman" w:hAnsi="Times New Roman"/>
                <w:szCs w:val="21"/>
              </w:rPr>
              <w:t>控</w:t>
            </w:r>
          </w:p>
          <w:p>
            <w:pPr>
              <w:jc w:val="center"/>
              <w:rPr>
                <w:rFonts w:ascii="Times New Roman" w:hAnsi="Times New Roman"/>
                <w:szCs w:val="21"/>
              </w:rPr>
            </w:pPr>
            <w:r>
              <w:rPr>
                <w:rFonts w:hint="eastAsia" w:ascii="Times New Roman" w:hAnsi="Times New Roman"/>
                <w:szCs w:val="21"/>
              </w:rPr>
              <w:t>制</w:t>
            </w:r>
          </w:p>
          <w:p>
            <w:pPr>
              <w:jc w:val="center"/>
              <w:rPr>
                <w:rFonts w:ascii="Times New Roman" w:hAnsi="Times New Roman"/>
                <w:szCs w:val="21"/>
              </w:rPr>
            </w:pPr>
            <w:r>
              <w:rPr>
                <w:rFonts w:hint="eastAsia" w:ascii="Times New Roman" w:hAnsi="Times New Roman"/>
                <w:szCs w:val="21"/>
              </w:rPr>
              <w:t>项</w:t>
            </w:r>
          </w:p>
        </w:tc>
        <w:tc>
          <w:tcPr>
            <w:tcW w:w="585" w:type="dxa"/>
            <w:vMerge w:val="restart"/>
            <w:noWrap w:val="0"/>
            <w:vAlign w:val="center"/>
          </w:tcPr>
          <w:p>
            <w:pPr>
              <w:jc w:val="center"/>
              <w:rPr>
                <w:rFonts w:ascii="Times New Roman" w:hAnsi="Times New Roman"/>
                <w:szCs w:val="21"/>
              </w:rPr>
            </w:pPr>
            <w:r>
              <w:rPr>
                <w:rFonts w:ascii="Times New Roman" w:hAnsi="Times New Roman"/>
                <w:szCs w:val="21"/>
              </w:rPr>
              <w:t>18</w:t>
            </w:r>
          </w:p>
        </w:tc>
        <w:tc>
          <w:tcPr>
            <w:tcW w:w="1350" w:type="dxa"/>
            <w:noWrap w:val="0"/>
            <w:vAlign w:val="center"/>
          </w:tcPr>
          <w:p>
            <w:pPr>
              <w:jc w:val="left"/>
              <w:rPr>
                <w:rFonts w:ascii="Times New Roman" w:hAnsi="Times New Roman"/>
                <w:szCs w:val="21"/>
              </w:rPr>
            </w:pPr>
            <w:r>
              <w:rPr>
                <w:rFonts w:hint="eastAsia" w:ascii="Times New Roman" w:hAnsi="Times New Roman"/>
                <w:szCs w:val="21"/>
              </w:rPr>
              <w:t>生产废弃物</w:t>
            </w:r>
          </w:p>
        </w:tc>
        <w:tc>
          <w:tcPr>
            <w:tcW w:w="720" w:type="dxa"/>
            <w:noWrap w:val="0"/>
            <w:vAlign w:val="center"/>
          </w:tcPr>
          <w:p>
            <w:pPr>
              <w:jc w:val="center"/>
              <w:rPr>
                <w:rFonts w:ascii="Times New Roman" w:hAnsi="Times New Roman"/>
                <w:szCs w:val="21"/>
              </w:rPr>
            </w:pPr>
            <w:r>
              <w:rPr>
                <w:rFonts w:ascii="Times New Roman" w:hAnsi="Times New Roman"/>
                <w:szCs w:val="21"/>
              </w:rPr>
              <w:t>6</w:t>
            </w:r>
          </w:p>
        </w:tc>
        <w:tc>
          <w:tcPr>
            <w:tcW w:w="4065" w:type="dxa"/>
            <w:noWrap w:val="0"/>
            <w:vAlign w:val="center"/>
          </w:tcPr>
          <w:p>
            <w:pPr>
              <w:jc w:val="left"/>
              <w:rPr>
                <w:rFonts w:ascii="Times New Roman" w:hAnsi="Times New Roman"/>
                <w:szCs w:val="21"/>
              </w:rPr>
            </w:pPr>
            <w:r>
              <w:rPr>
                <w:rFonts w:hint="eastAsia" w:ascii="Times New Roman" w:hAnsi="Times New Roman"/>
                <w:szCs w:val="21"/>
              </w:rPr>
              <w:t>全年的生产废弃物消纳利用率或循环利用率达到</w:t>
            </w:r>
            <w:r>
              <w:rPr>
                <w:rFonts w:ascii="Times New Roman" w:hAnsi="Times New Roman"/>
                <w:szCs w:val="21"/>
              </w:rPr>
              <w:t>100%</w:t>
            </w:r>
            <w:r>
              <w:rPr>
                <w:rFonts w:hint="eastAsia" w:ascii="Times New Roman" w:hAnsi="Times New Roman"/>
                <w:szCs w:val="21"/>
              </w:rPr>
              <w:t>，达到零排放。</w:t>
            </w:r>
          </w:p>
        </w:tc>
        <w:tc>
          <w:tcPr>
            <w:tcW w:w="825"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50" w:type="dxa"/>
            <w:vMerge w:val="continue"/>
            <w:shd w:val="clear" w:color="auto" w:fill="D8D8D8"/>
            <w:noWrap w:val="0"/>
            <w:vAlign w:val="center"/>
          </w:tcPr>
          <w:p>
            <w:pPr>
              <w:jc w:val="center"/>
              <w:rPr>
                <w:rFonts w:ascii="Times New Roman" w:hAnsi="Times New Roman"/>
                <w:szCs w:val="21"/>
              </w:rPr>
            </w:pPr>
          </w:p>
        </w:tc>
        <w:tc>
          <w:tcPr>
            <w:tcW w:w="750" w:type="dxa"/>
            <w:vMerge w:val="continue"/>
            <w:shd w:val="clear" w:color="auto" w:fill="D8D8D8"/>
            <w:noWrap w:val="0"/>
            <w:vAlign w:val="center"/>
          </w:tcPr>
          <w:p>
            <w:pPr>
              <w:jc w:val="center"/>
              <w:rPr>
                <w:rFonts w:ascii="Times New Roman" w:hAnsi="Times New Roman"/>
                <w:szCs w:val="21"/>
              </w:rPr>
            </w:pPr>
          </w:p>
        </w:tc>
        <w:tc>
          <w:tcPr>
            <w:tcW w:w="585" w:type="dxa"/>
            <w:vMerge w:val="continue"/>
            <w:noWrap w:val="0"/>
            <w:vAlign w:val="center"/>
          </w:tcPr>
          <w:p>
            <w:pPr>
              <w:jc w:val="center"/>
              <w:rPr>
                <w:rFonts w:ascii="Times New Roman" w:hAnsi="Times New Roman"/>
                <w:szCs w:val="21"/>
              </w:rPr>
            </w:pPr>
          </w:p>
        </w:tc>
        <w:tc>
          <w:tcPr>
            <w:tcW w:w="1350" w:type="dxa"/>
            <w:noWrap w:val="0"/>
            <w:vAlign w:val="center"/>
          </w:tcPr>
          <w:p>
            <w:pPr>
              <w:jc w:val="left"/>
              <w:rPr>
                <w:rFonts w:ascii="Times New Roman" w:hAnsi="Times New Roman"/>
                <w:szCs w:val="21"/>
              </w:rPr>
            </w:pPr>
            <w:r>
              <w:rPr>
                <w:rFonts w:hint="eastAsia" w:ascii="Times New Roman" w:hAnsi="Times New Roman"/>
                <w:szCs w:val="21"/>
              </w:rPr>
              <w:t>厂界生产性粉尘控制</w:t>
            </w:r>
          </w:p>
        </w:tc>
        <w:tc>
          <w:tcPr>
            <w:tcW w:w="720" w:type="dxa"/>
            <w:noWrap w:val="0"/>
            <w:vAlign w:val="center"/>
          </w:tcPr>
          <w:p>
            <w:pPr>
              <w:jc w:val="center"/>
              <w:rPr>
                <w:rFonts w:ascii="Times New Roman" w:hAnsi="Times New Roman"/>
                <w:szCs w:val="21"/>
              </w:rPr>
            </w:pPr>
            <w:r>
              <w:rPr>
                <w:rFonts w:ascii="Times New Roman" w:hAnsi="Times New Roman"/>
                <w:szCs w:val="21"/>
              </w:rPr>
              <w:t>6</w:t>
            </w:r>
          </w:p>
        </w:tc>
        <w:tc>
          <w:tcPr>
            <w:tcW w:w="4065" w:type="dxa"/>
            <w:noWrap w:val="0"/>
            <w:vAlign w:val="center"/>
          </w:tcPr>
          <w:p>
            <w:pPr>
              <w:jc w:val="left"/>
              <w:rPr>
                <w:rFonts w:ascii="Times New Roman" w:hAnsi="Times New Roman"/>
                <w:szCs w:val="21"/>
              </w:rPr>
            </w:pPr>
            <w:r>
              <w:rPr>
                <w:rFonts w:hint="eastAsia" w:ascii="Times New Roman" w:hAnsi="Times New Roman"/>
                <w:color w:val="000000"/>
                <w:szCs w:val="21"/>
              </w:rPr>
              <w:t>厂区位于住区、商业交通居民混合区、文化区、工业区和农村地区时，总悬浮颗粒物、可吸入颗粒物和细颗粒物的厂界浓度差值最大限值分别为</w:t>
            </w:r>
            <w:r>
              <w:rPr>
                <w:rFonts w:ascii="Times New Roman" w:hAnsi="Times New Roman"/>
                <w:color w:val="000000"/>
                <w:szCs w:val="21"/>
              </w:rPr>
              <w:t>200μg/m</w:t>
            </w:r>
            <w:r>
              <w:rPr>
                <w:rFonts w:ascii="Times New Roman" w:hAnsi="Times New Roman"/>
                <w:color w:val="000000"/>
                <w:szCs w:val="21"/>
                <w:vertAlign w:val="superscript"/>
              </w:rPr>
              <w:t>3</w:t>
            </w:r>
            <w:r>
              <w:rPr>
                <w:rFonts w:hint="eastAsia" w:ascii="Times New Roman" w:hAnsi="Times New Roman"/>
                <w:color w:val="000000"/>
                <w:szCs w:val="21"/>
              </w:rPr>
              <w:t>、</w:t>
            </w:r>
            <w:r>
              <w:rPr>
                <w:rFonts w:ascii="Times New Roman" w:hAnsi="Times New Roman"/>
                <w:color w:val="000000"/>
                <w:szCs w:val="21"/>
              </w:rPr>
              <w:t>80μg/m</w:t>
            </w:r>
            <w:r>
              <w:rPr>
                <w:rFonts w:ascii="Times New Roman" w:hAnsi="Times New Roman"/>
                <w:color w:val="000000"/>
                <w:szCs w:val="21"/>
                <w:vertAlign w:val="superscript"/>
              </w:rPr>
              <w:t>3</w:t>
            </w:r>
            <w:r>
              <w:rPr>
                <w:rFonts w:hint="eastAsia" w:ascii="Times New Roman" w:hAnsi="Times New Roman"/>
                <w:color w:val="000000"/>
                <w:szCs w:val="21"/>
              </w:rPr>
              <w:t>和</w:t>
            </w:r>
            <w:r>
              <w:rPr>
                <w:rFonts w:ascii="Times New Roman" w:hAnsi="Times New Roman"/>
                <w:color w:val="000000"/>
                <w:szCs w:val="21"/>
              </w:rPr>
              <w:t>35μg/m</w:t>
            </w:r>
            <w:r>
              <w:rPr>
                <w:rFonts w:ascii="Times New Roman" w:hAnsi="Times New Roman"/>
                <w:color w:val="000000"/>
                <w:szCs w:val="21"/>
                <w:vertAlign w:val="superscript"/>
              </w:rPr>
              <w:t>3</w:t>
            </w:r>
            <w:r>
              <w:rPr>
                <w:rFonts w:hint="eastAsia" w:ascii="Times New Roman" w:hAnsi="Times New Roman"/>
                <w:color w:val="000000"/>
                <w:szCs w:val="21"/>
              </w:rPr>
              <w:t>。</w:t>
            </w:r>
          </w:p>
        </w:tc>
        <w:tc>
          <w:tcPr>
            <w:tcW w:w="825"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50" w:type="dxa"/>
            <w:vMerge w:val="continue"/>
            <w:shd w:val="clear" w:color="auto" w:fill="D8D8D8"/>
            <w:noWrap w:val="0"/>
            <w:vAlign w:val="center"/>
          </w:tcPr>
          <w:p>
            <w:pPr>
              <w:jc w:val="center"/>
              <w:rPr>
                <w:rFonts w:ascii="Times New Roman" w:hAnsi="Times New Roman"/>
                <w:szCs w:val="21"/>
              </w:rPr>
            </w:pPr>
          </w:p>
        </w:tc>
        <w:tc>
          <w:tcPr>
            <w:tcW w:w="750" w:type="dxa"/>
            <w:vMerge w:val="continue"/>
            <w:shd w:val="clear" w:color="auto" w:fill="D8D8D8"/>
            <w:noWrap w:val="0"/>
            <w:vAlign w:val="center"/>
          </w:tcPr>
          <w:p>
            <w:pPr>
              <w:jc w:val="center"/>
              <w:rPr>
                <w:rFonts w:ascii="Times New Roman" w:hAnsi="Times New Roman"/>
                <w:szCs w:val="21"/>
              </w:rPr>
            </w:pPr>
          </w:p>
        </w:tc>
        <w:tc>
          <w:tcPr>
            <w:tcW w:w="585" w:type="dxa"/>
            <w:vMerge w:val="continue"/>
            <w:noWrap w:val="0"/>
            <w:vAlign w:val="center"/>
          </w:tcPr>
          <w:p>
            <w:pPr>
              <w:jc w:val="center"/>
              <w:rPr>
                <w:rFonts w:ascii="Times New Roman" w:hAnsi="Times New Roman"/>
                <w:szCs w:val="21"/>
              </w:rPr>
            </w:pPr>
          </w:p>
        </w:tc>
        <w:tc>
          <w:tcPr>
            <w:tcW w:w="1350" w:type="dxa"/>
            <w:noWrap w:val="0"/>
            <w:vAlign w:val="center"/>
          </w:tcPr>
          <w:p>
            <w:pPr>
              <w:jc w:val="left"/>
              <w:rPr>
                <w:rFonts w:ascii="Times New Roman" w:hAnsi="Times New Roman"/>
                <w:szCs w:val="21"/>
              </w:rPr>
            </w:pPr>
            <w:r>
              <w:rPr>
                <w:rFonts w:hint="eastAsia" w:ascii="Times New Roman" w:hAnsi="Times New Roman"/>
                <w:szCs w:val="21"/>
              </w:rPr>
              <w:t>厂界噪声控制</w:t>
            </w:r>
          </w:p>
        </w:tc>
        <w:tc>
          <w:tcPr>
            <w:tcW w:w="720" w:type="dxa"/>
            <w:noWrap w:val="0"/>
            <w:vAlign w:val="center"/>
          </w:tcPr>
          <w:p>
            <w:pPr>
              <w:jc w:val="center"/>
              <w:rPr>
                <w:rFonts w:ascii="Times New Roman" w:hAnsi="Times New Roman"/>
                <w:szCs w:val="21"/>
              </w:rPr>
            </w:pPr>
            <w:r>
              <w:rPr>
                <w:rFonts w:ascii="Times New Roman" w:hAnsi="Times New Roman"/>
                <w:szCs w:val="21"/>
              </w:rPr>
              <w:t>6</w:t>
            </w:r>
          </w:p>
        </w:tc>
        <w:tc>
          <w:tcPr>
            <w:tcW w:w="4065" w:type="dxa"/>
            <w:noWrap w:val="0"/>
            <w:vAlign w:val="center"/>
          </w:tcPr>
          <w:p>
            <w:pPr>
              <w:jc w:val="left"/>
              <w:rPr>
                <w:rFonts w:ascii="Times New Roman" w:hAnsi="Times New Roman"/>
                <w:szCs w:val="21"/>
              </w:rPr>
            </w:pPr>
            <w:r>
              <w:rPr>
                <w:rFonts w:hint="eastAsia" w:ascii="Times New Roman" w:hAnsi="Times New Roman"/>
                <w:color w:val="000000"/>
                <w:szCs w:val="21"/>
              </w:rPr>
              <w:t>比本规程第</w:t>
            </w:r>
            <w:r>
              <w:rPr>
                <w:rFonts w:ascii="Times New Roman" w:hAnsi="Times New Roman"/>
                <w:color w:val="000000"/>
                <w:szCs w:val="21"/>
              </w:rPr>
              <w:t>5.4</w:t>
            </w:r>
            <w:r>
              <w:rPr>
                <w:rFonts w:hint="eastAsia" w:ascii="Times New Roman" w:hAnsi="Times New Roman"/>
                <w:color w:val="000000"/>
                <w:szCs w:val="21"/>
              </w:rPr>
              <w:t>节规定的所属声环境昼间噪声限值低</w:t>
            </w:r>
            <w:r>
              <w:rPr>
                <w:rFonts w:ascii="Times New Roman" w:hAnsi="Times New Roman"/>
                <w:color w:val="000000"/>
                <w:szCs w:val="21"/>
              </w:rPr>
              <w:t>10dB</w:t>
            </w:r>
            <w:r>
              <w:rPr>
                <w:rFonts w:hint="eastAsia" w:ascii="Times New Roman" w:hAnsi="Times New Roman"/>
                <w:color w:val="000000"/>
                <w:szCs w:val="21"/>
              </w:rPr>
              <w:t>（</w:t>
            </w:r>
            <w:r>
              <w:rPr>
                <w:rFonts w:ascii="Times New Roman" w:hAnsi="Times New Roman"/>
                <w:color w:val="000000"/>
                <w:szCs w:val="21"/>
              </w:rPr>
              <w:t>A</w:t>
            </w:r>
            <w:r>
              <w:rPr>
                <w:rFonts w:hint="eastAsia" w:ascii="Times New Roman" w:hAnsi="Times New Roman"/>
                <w:color w:val="000000"/>
                <w:szCs w:val="21"/>
              </w:rPr>
              <w:t>）以上，或最大噪声限值</w:t>
            </w:r>
            <w:r>
              <w:rPr>
                <w:rFonts w:ascii="Times New Roman" w:hAnsi="Times New Roman"/>
                <w:color w:val="000000"/>
                <w:szCs w:val="21"/>
              </w:rPr>
              <w:t>55dB</w:t>
            </w:r>
            <w:r>
              <w:rPr>
                <w:rFonts w:hint="eastAsia" w:ascii="Times New Roman" w:hAnsi="Times New Roman"/>
                <w:color w:val="000000"/>
                <w:szCs w:val="21"/>
              </w:rPr>
              <w:t>（</w:t>
            </w:r>
            <w:r>
              <w:rPr>
                <w:rFonts w:ascii="Times New Roman" w:hAnsi="Times New Roman"/>
                <w:color w:val="000000"/>
                <w:szCs w:val="21"/>
              </w:rPr>
              <w:t>A</w:t>
            </w:r>
            <w:r>
              <w:rPr>
                <w:rFonts w:hint="eastAsia" w:ascii="Times New Roman" w:hAnsi="Times New Roman"/>
                <w:color w:val="000000"/>
                <w:szCs w:val="21"/>
              </w:rPr>
              <w:t>）。</w:t>
            </w:r>
          </w:p>
        </w:tc>
        <w:tc>
          <w:tcPr>
            <w:tcW w:w="825"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750" w:type="dxa"/>
            <w:vMerge w:val="continue"/>
            <w:shd w:val="clear" w:color="auto" w:fill="D8D8D8"/>
            <w:noWrap w:val="0"/>
            <w:vAlign w:val="center"/>
          </w:tcPr>
          <w:p>
            <w:pPr>
              <w:jc w:val="center"/>
              <w:rPr>
                <w:rFonts w:ascii="Times New Roman" w:hAnsi="Times New Roman"/>
                <w:szCs w:val="21"/>
              </w:rPr>
            </w:pPr>
          </w:p>
        </w:tc>
        <w:tc>
          <w:tcPr>
            <w:tcW w:w="750" w:type="dxa"/>
            <w:vMerge w:val="restart"/>
            <w:shd w:val="clear" w:color="auto" w:fill="D8D8D8"/>
            <w:noWrap w:val="0"/>
            <w:vAlign w:val="center"/>
          </w:tcPr>
          <w:p>
            <w:pPr>
              <w:jc w:val="center"/>
              <w:rPr>
                <w:rFonts w:ascii="Times New Roman" w:hAnsi="Times New Roman"/>
                <w:szCs w:val="21"/>
              </w:rPr>
            </w:pPr>
            <w:r>
              <w:rPr>
                <w:rFonts w:hint="eastAsia" w:ascii="Times New Roman" w:hAnsi="Times New Roman"/>
                <w:szCs w:val="21"/>
              </w:rPr>
              <w:t>一</w:t>
            </w:r>
          </w:p>
          <w:p>
            <w:pPr>
              <w:jc w:val="center"/>
              <w:rPr>
                <w:rFonts w:ascii="Times New Roman" w:hAnsi="Times New Roman"/>
                <w:szCs w:val="21"/>
              </w:rPr>
            </w:pPr>
            <w:r>
              <w:rPr>
                <w:rFonts w:hint="eastAsia" w:ascii="Times New Roman" w:hAnsi="Times New Roman"/>
                <w:szCs w:val="21"/>
              </w:rPr>
              <w:t>般</w:t>
            </w:r>
          </w:p>
          <w:p>
            <w:pPr>
              <w:jc w:val="center"/>
              <w:rPr>
                <w:rFonts w:ascii="Times New Roman" w:hAnsi="Times New Roman"/>
                <w:szCs w:val="21"/>
              </w:rPr>
            </w:pPr>
            <w:r>
              <w:rPr>
                <w:rFonts w:hint="eastAsia" w:ascii="Times New Roman" w:hAnsi="Times New Roman"/>
                <w:szCs w:val="21"/>
              </w:rPr>
              <w:t>项</w:t>
            </w:r>
          </w:p>
        </w:tc>
        <w:tc>
          <w:tcPr>
            <w:tcW w:w="585" w:type="dxa"/>
            <w:vMerge w:val="restart"/>
            <w:noWrap w:val="0"/>
            <w:vAlign w:val="center"/>
          </w:tcPr>
          <w:p>
            <w:pPr>
              <w:jc w:val="center"/>
              <w:rPr>
                <w:rFonts w:ascii="Times New Roman" w:hAnsi="Times New Roman"/>
                <w:szCs w:val="21"/>
              </w:rPr>
            </w:pPr>
            <w:r>
              <w:rPr>
                <w:rFonts w:ascii="Times New Roman" w:hAnsi="Times New Roman"/>
                <w:szCs w:val="21"/>
              </w:rPr>
              <w:t>12</w:t>
            </w:r>
          </w:p>
        </w:tc>
        <w:tc>
          <w:tcPr>
            <w:tcW w:w="1350" w:type="dxa"/>
            <w:noWrap w:val="0"/>
            <w:vAlign w:val="center"/>
          </w:tcPr>
          <w:p>
            <w:pPr>
              <w:jc w:val="left"/>
              <w:rPr>
                <w:rFonts w:ascii="Times New Roman" w:hAnsi="Times New Roman"/>
                <w:szCs w:val="21"/>
              </w:rPr>
            </w:pPr>
            <w:r>
              <w:rPr>
                <w:rFonts w:hint="eastAsia" w:ascii="Times New Roman" w:hAnsi="Times New Roman"/>
                <w:szCs w:val="21"/>
              </w:rPr>
              <w:t>厂区内生产性粉尘控制</w:t>
            </w:r>
          </w:p>
        </w:tc>
        <w:tc>
          <w:tcPr>
            <w:tcW w:w="720" w:type="dxa"/>
            <w:noWrap w:val="0"/>
            <w:vAlign w:val="center"/>
          </w:tcPr>
          <w:p>
            <w:pPr>
              <w:jc w:val="center"/>
              <w:rPr>
                <w:rFonts w:ascii="Times New Roman" w:hAnsi="Times New Roman"/>
                <w:szCs w:val="21"/>
              </w:rPr>
            </w:pPr>
            <w:r>
              <w:rPr>
                <w:rFonts w:ascii="Times New Roman" w:hAnsi="Times New Roman"/>
                <w:szCs w:val="21"/>
              </w:rPr>
              <w:t>5</w:t>
            </w:r>
          </w:p>
        </w:tc>
        <w:tc>
          <w:tcPr>
            <w:tcW w:w="4065" w:type="dxa"/>
            <w:noWrap w:val="0"/>
            <w:vAlign w:val="center"/>
          </w:tcPr>
          <w:p>
            <w:pPr>
              <w:jc w:val="left"/>
              <w:rPr>
                <w:rFonts w:ascii="Times New Roman" w:hAnsi="Times New Roman"/>
                <w:szCs w:val="21"/>
              </w:rPr>
            </w:pPr>
            <w:r>
              <w:rPr>
                <w:rFonts w:hint="eastAsia" w:ascii="Times New Roman" w:hAnsi="Times New Roman"/>
                <w:color w:val="000000"/>
                <w:szCs w:val="21"/>
              </w:rPr>
              <w:t>厂区内无组织排放总悬浮颗粒物的</w:t>
            </w:r>
            <w:r>
              <w:rPr>
                <w:rFonts w:ascii="Times New Roman" w:hAnsi="Times New Roman"/>
                <w:color w:val="000000"/>
                <w:szCs w:val="21"/>
              </w:rPr>
              <w:t>1h</w:t>
            </w:r>
            <w:r>
              <w:rPr>
                <w:rFonts w:hint="eastAsia" w:ascii="Times New Roman" w:hAnsi="Times New Roman"/>
                <w:color w:val="000000"/>
                <w:szCs w:val="21"/>
              </w:rPr>
              <w:t>平均浓度限值符合下列规定：混凝土搅拌站（楼）的计量层和搅拌层不应大于</w:t>
            </w:r>
            <w:r>
              <w:rPr>
                <w:rFonts w:ascii="Times New Roman" w:hAnsi="Times New Roman"/>
                <w:color w:val="000000"/>
                <w:szCs w:val="21"/>
              </w:rPr>
              <w:t>600μg/m</w:t>
            </w:r>
            <w:r>
              <w:rPr>
                <w:rFonts w:ascii="Times New Roman" w:hAnsi="Times New Roman"/>
                <w:color w:val="000000"/>
                <w:szCs w:val="21"/>
                <w:vertAlign w:val="superscript"/>
              </w:rPr>
              <w:t>3</w:t>
            </w:r>
            <w:r>
              <w:rPr>
                <w:rFonts w:hint="eastAsia" w:ascii="Times New Roman" w:hAnsi="Times New Roman"/>
                <w:color w:val="000000"/>
                <w:szCs w:val="21"/>
              </w:rPr>
              <w:t>；骨料堆场不应大于</w:t>
            </w:r>
            <w:r>
              <w:rPr>
                <w:rFonts w:ascii="Times New Roman" w:hAnsi="Times New Roman"/>
                <w:color w:val="000000"/>
                <w:szCs w:val="21"/>
              </w:rPr>
              <w:t>400μg/m</w:t>
            </w:r>
            <w:r>
              <w:rPr>
                <w:rFonts w:ascii="Times New Roman" w:hAnsi="Times New Roman"/>
                <w:color w:val="000000"/>
                <w:szCs w:val="21"/>
                <w:vertAlign w:val="superscript"/>
              </w:rPr>
              <w:t>3</w:t>
            </w:r>
            <w:r>
              <w:rPr>
                <w:rFonts w:hint="eastAsia" w:ascii="Times New Roman" w:hAnsi="Times New Roman"/>
                <w:color w:val="000000"/>
                <w:szCs w:val="21"/>
              </w:rPr>
              <w:t>。</w:t>
            </w:r>
          </w:p>
        </w:tc>
        <w:tc>
          <w:tcPr>
            <w:tcW w:w="825"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50" w:type="dxa"/>
            <w:vMerge w:val="continue"/>
            <w:shd w:val="clear" w:color="auto" w:fill="D8D8D8"/>
            <w:noWrap w:val="0"/>
            <w:vAlign w:val="center"/>
          </w:tcPr>
          <w:p>
            <w:pPr>
              <w:jc w:val="center"/>
              <w:rPr>
                <w:rFonts w:ascii="Times New Roman" w:hAnsi="Times New Roman"/>
                <w:szCs w:val="21"/>
              </w:rPr>
            </w:pPr>
          </w:p>
        </w:tc>
        <w:tc>
          <w:tcPr>
            <w:tcW w:w="750" w:type="dxa"/>
            <w:vMerge w:val="continue"/>
            <w:shd w:val="clear" w:color="auto" w:fill="D8D8D8"/>
            <w:noWrap w:val="0"/>
            <w:vAlign w:val="center"/>
          </w:tcPr>
          <w:p>
            <w:pPr>
              <w:jc w:val="center"/>
              <w:rPr>
                <w:rFonts w:ascii="Times New Roman" w:hAnsi="Times New Roman"/>
                <w:szCs w:val="21"/>
              </w:rPr>
            </w:pPr>
          </w:p>
        </w:tc>
        <w:tc>
          <w:tcPr>
            <w:tcW w:w="585" w:type="dxa"/>
            <w:vMerge w:val="continue"/>
            <w:noWrap w:val="0"/>
            <w:vAlign w:val="center"/>
          </w:tcPr>
          <w:p>
            <w:pPr>
              <w:jc w:val="center"/>
              <w:rPr>
                <w:rFonts w:ascii="Times New Roman" w:hAnsi="Times New Roman"/>
                <w:szCs w:val="21"/>
              </w:rPr>
            </w:pPr>
          </w:p>
        </w:tc>
        <w:tc>
          <w:tcPr>
            <w:tcW w:w="1350" w:type="dxa"/>
            <w:noWrap w:val="0"/>
            <w:vAlign w:val="center"/>
          </w:tcPr>
          <w:p>
            <w:pPr>
              <w:jc w:val="left"/>
              <w:rPr>
                <w:rFonts w:ascii="Times New Roman" w:hAnsi="Times New Roman"/>
                <w:szCs w:val="21"/>
              </w:rPr>
            </w:pPr>
            <w:r>
              <w:rPr>
                <w:rFonts w:hint="eastAsia" w:ascii="Times New Roman" w:hAnsi="Times New Roman"/>
                <w:szCs w:val="21"/>
              </w:rPr>
              <w:t>厂区内噪声控制</w:t>
            </w:r>
          </w:p>
        </w:tc>
        <w:tc>
          <w:tcPr>
            <w:tcW w:w="720" w:type="dxa"/>
            <w:noWrap w:val="0"/>
            <w:vAlign w:val="center"/>
          </w:tcPr>
          <w:p>
            <w:pPr>
              <w:jc w:val="center"/>
              <w:rPr>
                <w:rFonts w:ascii="Times New Roman" w:hAnsi="Times New Roman"/>
                <w:szCs w:val="21"/>
              </w:rPr>
            </w:pPr>
            <w:r>
              <w:rPr>
                <w:rFonts w:ascii="Times New Roman" w:hAnsi="Times New Roman"/>
                <w:szCs w:val="21"/>
              </w:rPr>
              <w:t>5</w:t>
            </w:r>
          </w:p>
        </w:tc>
        <w:tc>
          <w:tcPr>
            <w:tcW w:w="4065" w:type="dxa"/>
            <w:noWrap w:val="0"/>
            <w:vAlign w:val="center"/>
          </w:tcPr>
          <w:p>
            <w:pPr>
              <w:jc w:val="left"/>
              <w:rPr>
                <w:rFonts w:ascii="Times New Roman" w:hAnsi="Times New Roman"/>
                <w:szCs w:val="21"/>
              </w:rPr>
            </w:pPr>
            <w:r>
              <w:rPr>
                <w:rFonts w:hint="eastAsia" w:ascii="Times New Roman" w:hAnsi="Times New Roman"/>
                <w:color w:val="000000"/>
                <w:szCs w:val="21"/>
              </w:rPr>
              <w:t>厂区内噪声敏感建筑物的环境噪声最大限值（符合下列规定：昼间办公区</w:t>
            </w:r>
            <w:r>
              <w:rPr>
                <w:rFonts w:ascii="Times New Roman" w:hAnsi="Times New Roman"/>
                <w:color w:val="000000"/>
                <w:szCs w:val="21"/>
              </w:rPr>
              <w:t>55</w:t>
            </w:r>
            <w:r>
              <w:rPr>
                <w:rFonts w:hint="eastAsia" w:ascii="Times New Roman" w:hAnsi="Times New Roman"/>
                <w:color w:val="000000"/>
                <w:szCs w:val="21"/>
              </w:rPr>
              <w:t>；夜间办公区</w:t>
            </w:r>
            <w:r>
              <w:rPr>
                <w:rFonts w:ascii="Times New Roman" w:hAnsi="Times New Roman"/>
                <w:color w:val="000000"/>
                <w:szCs w:val="21"/>
              </w:rPr>
              <w:t>45</w:t>
            </w:r>
            <w:r>
              <w:rPr>
                <w:rFonts w:hint="eastAsia" w:ascii="Times New Roman" w:hAnsi="Times New Roman"/>
                <w:color w:val="000000"/>
                <w:szCs w:val="21"/>
              </w:rPr>
              <w:t>。</w:t>
            </w:r>
          </w:p>
        </w:tc>
        <w:tc>
          <w:tcPr>
            <w:tcW w:w="825"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50" w:type="dxa"/>
            <w:vMerge w:val="continue"/>
            <w:shd w:val="clear" w:color="auto" w:fill="D8D8D8"/>
            <w:noWrap w:val="0"/>
            <w:vAlign w:val="center"/>
          </w:tcPr>
          <w:p>
            <w:pPr>
              <w:jc w:val="center"/>
              <w:rPr>
                <w:rFonts w:ascii="Times New Roman" w:hAnsi="Times New Roman"/>
                <w:szCs w:val="21"/>
              </w:rPr>
            </w:pPr>
          </w:p>
        </w:tc>
        <w:tc>
          <w:tcPr>
            <w:tcW w:w="750" w:type="dxa"/>
            <w:vMerge w:val="continue"/>
            <w:shd w:val="clear" w:color="auto" w:fill="D8D8D8"/>
            <w:noWrap w:val="0"/>
            <w:vAlign w:val="center"/>
          </w:tcPr>
          <w:p>
            <w:pPr>
              <w:jc w:val="center"/>
              <w:rPr>
                <w:rFonts w:ascii="Times New Roman" w:hAnsi="Times New Roman"/>
                <w:szCs w:val="21"/>
              </w:rPr>
            </w:pPr>
          </w:p>
        </w:tc>
        <w:tc>
          <w:tcPr>
            <w:tcW w:w="585" w:type="dxa"/>
            <w:vMerge w:val="continue"/>
            <w:noWrap w:val="0"/>
            <w:vAlign w:val="center"/>
          </w:tcPr>
          <w:p>
            <w:pPr>
              <w:jc w:val="center"/>
              <w:rPr>
                <w:rFonts w:ascii="Times New Roman" w:hAnsi="Times New Roman"/>
                <w:szCs w:val="21"/>
              </w:rPr>
            </w:pPr>
          </w:p>
        </w:tc>
        <w:tc>
          <w:tcPr>
            <w:tcW w:w="1350" w:type="dxa"/>
            <w:noWrap w:val="0"/>
            <w:vAlign w:val="center"/>
          </w:tcPr>
          <w:p>
            <w:pPr>
              <w:jc w:val="left"/>
              <w:rPr>
                <w:rFonts w:ascii="Times New Roman" w:hAnsi="Times New Roman"/>
                <w:szCs w:val="21"/>
              </w:rPr>
            </w:pPr>
            <w:r>
              <w:rPr>
                <w:rFonts w:hint="eastAsia" w:ascii="Times New Roman" w:hAnsi="Times New Roman"/>
                <w:szCs w:val="21"/>
              </w:rPr>
              <w:t>职业健康安全管理</w:t>
            </w:r>
          </w:p>
        </w:tc>
        <w:tc>
          <w:tcPr>
            <w:tcW w:w="720" w:type="dxa"/>
            <w:noWrap w:val="0"/>
            <w:vAlign w:val="center"/>
          </w:tcPr>
          <w:p>
            <w:pPr>
              <w:jc w:val="center"/>
              <w:rPr>
                <w:rFonts w:ascii="Times New Roman" w:hAnsi="Times New Roman"/>
                <w:szCs w:val="21"/>
              </w:rPr>
            </w:pPr>
            <w:r>
              <w:rPr>
                <w:rFonts w:ascii="Times New Roman" w:hAnsi="Times New Roman"/>
                <w:szCs w:val="21"/>
              </w:rPr>
              <w:t>2</w:t>
            </w:r>
          </w:p>
        </w:tc>
        <w:tc>
          <w:tcPr>
            <w:tcW w:w="4065" w:type="dxa"/>
            <w:noWrap w:val="0"/>
            <w:vAlign w:val="center"/>
          </w:tcPr>
          <w:p>
            <w:pPr>
              <w:jc w:val="left"/>
              <w:rPr>
                <w:rFonts w:ascii="Times New Roman" w:hAnsi="Times New Roman"/>
                <w:szCs w:val="21"/>
              </w:rPr>
            </w:pPr>
            <w:r>
              <w:rPr>
                <w:rFonts w:hint="eastAsia" w:ascii="Times New Roman" w:hAnsi="Times New Roman"/>
                <w:szCs w:val="21"/>
              </w:rPr>
              <w:t>应符合现行国家标准《职业健康安全管理体系</w:t>
            </w:r>
            <w:r>
              <w:rPr>
                <w:rFonts w:ascii="Times New Roman" w:hAnsi="Times New Roman"/>
                <w:szCs w:val="21"/>
              </w:rPr>
              <w:t xml:space="preserve"> </w:t>
            </w:r>
            <w:r>
              <w:rPr>
                <w:rFonts w:hint="eastAsia" w:ascii="Times New Roman" w:hAnsi="Times New Roman"/>
                <w:szCs w:val="21"/>
              </w:rPr>
              <w:t>要求》</w:t>
            </w:r>
            <w:r>
              <w:rPr>
                <w:rFonts w:ascii="Times New Roman" w:hAnsi="Times New Roman"/>
                <w:szCs w:val="21"/>
              </w:rPr>
              <w:t>GB/T28001</w:t>
            </w:r>
            <w:r>
              <w:rPr>
                <w:rFonts w:hint="eastAsia" w:ascii="Times New Roman" w:hAnsi="Times New Roman"/>
                <w:szCs w:val="21"/>
              </w:rPr>
              <w:t>规定。</w:t>
            </w:r>
          </w:p>
        </w:tc>
        <w:tc>
          <w:tcPr>
            <w:tcW w:w="825"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00" w:type="dxa"/>
            <w:gridSpan w:val="2"/>
            <w:shd w:val="clear" w:color="auto" w:fill="D8D8D8"/>
            <w:noWrap w:val="0"/>
            <w:vAlign w:val="center"/>
          </w:tcPr>
          <w:p>
            <w:pPr>
              <w:jc w:val="center"/>
              <w:rPr>
                <w:rFonts w:ascii="Times New Roman" w:hAnsi="Times New Roman"/>
                <w:szCs w:val="21"/>
              </w:rPr>
            </w:pPr>
            <w:r>
              <w:rPr>
                <w:rFonts w:hint="eastAsia" w:ascii="Times New Roman" w:hAnsi="Times New Roman"/>
                <w:b/>
                <w:bCs/>
                <w:szCs w:val="21"/>
              </w:rPr>
              <w:t>专项要求总得分</w:t>
            </w:r>
          </w:p>
        </w:tc>
        <w:tc>
          <w:tcPr>
            <w:tcW w:w="7545" w:type="dxa"/>
            <w:gridSpan w:val="5"/>
            <w:shd w:val="clear" w:color="auto" w:fill="D8D8D8"/>
            <w:noWrap w:val="0"/>
            <w:vAlign w:val="center"/>
          </w:tcPr>
          <w:p>
            <w:pPr>
              <w:jc w:val="left"/>
              <w:rPr>
                <w:rFonts w:ascii="Times New Roman" w:hAnsi="Times New Roman"/>
                <w:szCs w:val="21"/>
              </w:rPr>
            </w:pPr>
            <w:r>
              <w:rPr>
                <w:rFonts w:hint="eastAsia" w:ascii="Times New Roman" w:hAnsi="Times New Roman"/>
                <w:b/>
                <w:bCs/>
                <w:szCs w:val="21"/>
              </w:rPr>
              <w:t>专项要求评价得分为：</w:t>
            </w:r>
            <w:r>
              <w:rPr>
                <w:rFonts w:ascii="Times New Roman" w:hAnsi="Times New Roman"/>
                <w:b/>
                <w:bCs/>
                <w:szCs w:val="21"/>
                <w:u w:val="single"/>
              </w:rPr>
              <w:t xml:space="preserve">         </w:t>
            </w:r>
            <w:r>
              <w:rPr>
                <w:rFonts w:hint="eastAsia" w:ascii="Times New Roman" w:hAnsi="Times New Roman"/>
                <w:b/>
                <w:bCs/>
                <w:szCs w:val="21"/>
              </w:rPr>
              <w:t>。</w:t>
            </w:r>
          </w:p>
        </w:tc>
      </w:tr>
    </w:tbl>
    <w:p>
      <w:pPr>
        <w:rPr>
          <w:szCs w:val="21"/>
        </w:rPr>
      </w:pP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rPr>
      </w:pPr>
      <w:r>
        <w:rPr>
          <w:rFonts w:hint="eastAsia" w:ascii="方正小标宋简体" w:hAnsi="方正小标宋简体" w:eastAsia="方正小标宋简体" w:cs="方正小标宋简体"/>
          <w:b w:val="0"/>
          <w:bCs w:val="0"/>
          <w:color w:val="000000"/>
          <w:kern w:val="44"/>
          <w:sz w:val="32"/>
          <w:szCs w:val="32"/>
        </w:rPr>
        <w:t>绿色生产评价得分汇总</w:t>
      </w:r>
    </w:p>
    <w:tbl>
      <w:tblPr>
        <w:tblStyle w:val="7"/>
        <w:tblW w:w="93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650"/>
        <w:gridCol w:w="652"/>
        <w:gridCol w:w="650"/>
        <w:gridCol w:w="654"/>
        <w:gridCol w:w="650"/>
        <w:gridCol w:w="652"/>
        <w:gridCol w:w="650"/>
        <w:gridCol w:w="654"/>
        <w:gridCol w:w="650"/>
        <w:gridCol w:w="652"/>
        <w:gridCol w:w="650"/>
        <w:gridCol w:w="656"/>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726" w:type="dxa"/>
            <w:tcBorders>
              <w:right w:val="single" w:color="auto" w:sz="4" w:space="0"/>
            </w:tcBorders>
            <w:noWrap w:val="0"/>
            <w:vAlign w:val="center"/>
          </w:tcPr>
          <w:p>
            <w:pPr>
              <w:spacing w:line="360" w:lineRule="exact"/>
              <w:jc w:val="center"/>
              <w:rPr>
                <w:rFonts w:ascii="宋体" w:cs="宋体"/>
                <w:szCs w:val="21"/>
              </w:rPr>
            </w:pPr>
            <w:r>
              <w:rPr>
                <w:rFonts w:hint="eastAsia" w:ascii="宋体" w:hAnsi="宋体" w:cs="宋体"/>
                <w:szCs w:val="21"/>
              </w:rPr>
              <w:t>技术要求</w:t>
            </w:r>
          </w:p>
        </w:tc>
        <w:tc>
          <w:tcPr>
            <w:tcW w:w="2606" w:type="dxa"/>
            <w:gridSpan w:val="4"/>
            <w:tcBorders>
              <w:left w:val="single" w:color="auto" w:sz="4" w:space="0"/>
            </w:tcBorders>
            <w:noWrap w:val="0"/>
            <w:vAlign w:val="center"/>
          </w:tcPr>
          <w:p>
            <w:pPr>
              <w:spacing w:line="360" w:lineRule="exact"/>
              <w:jc w:val="center"/>
              <w:rPr>
                <w:rFonts w:ascii="宋体" w:cs="宋体"/>
                <w:szCs w:val="21"/>
              </w:rPr>
            </w:pPr>
            <w:r>
              <w:rPr>
                <w:rFonts w:hint="eastAsia" w:ascii="宋体" w:hAnsi="宋体" w:cs="宋体"/>
                <w:szCs w:val="21"/>
              </w:rPr>
              <w:t>通用要求A</w:t>
            </w:r>
          </w:p>
        </w:tc>
        <w:tc>
          <w:tcPr>
            <w:tcW w:w="2606" w:type="dxa"/>
            <w:gridSpan w:val="4"/>
            <w:noWrap w:val="0"/>
            <w:vAlign w:val="center"/>
          </w:tcPr>
          <w:p>
            <w:pPr>
              <w:spacing w:line="360" w:lineRule="exact"/>
              <w:jc w:val="center"/>
              <w:rPr>
                <w:rFonts w:ascii="宋体" w:cs="宋体"/>
                <w:szCs w:val="21"/>
              </w:rPr>
            </w:pPr>
            <w:r>
              <w:rPr>
                <w:rFonts w:hint="eastAsia" w:ascii="宋体" w:hAnsi="宋体" w:cs="宋体"/>
                <w:szCs w:val="21"/>
              </w:rPr>
              <w:t>专项要求</w:t>
            </w:r>
            <w:r>
              <w:rPr>
                <w:rFonts w:ascii="宋体" w:hAnsi="宋体" w:cs="宋体"/>
                <w:szCs w:val="21"/>
              </w:rPr>
              <w:t>B</w:t>
            </w:r>
          </w:p>
        </w:tc>
        <w:tc>
          <w:tcPr>
            <w:tcW w:w="2608" w:type="dxa"/>
            <w:gridSpan w:val="4"/>
            <w:noWrap w:val="0"/>
            <w:vAlign w:val="center"/>
          </w:tcPr>
          <w:p>
            <w:pPr>
              <w:spacing w:line="360" w:lineRule="exact"/>
              <w:jc w:val="center"/>
              <w:rPr>
                <w:rFonts w:ascii="宋体" w:cs="宋体"/>
                <w:szCs w:val="21"/>
              </w:rPr>
            </w:pPr>
            <w:r>
              <w:rPr>
                <w:rFonts w:hint="eastAsia" w:ascii="宋体" w:hAnsi="宋体" w:cs="宋体"/>
                <w:szCs w:val="21"/>
              </w:rPr>
              <w:t>专项要求</w:t>
            </w:r>
            <w:r>
              <w:rPr>
                <w:rFonts w:ascii="宋体" w:hAnsi="宋体" w:cs="宋体"/>
                <w:szCs w:val="21"/>
              </w:rPr>
              <w:t>C</w:t>
            </w:r>
          </w:p>
        </w:tc>
        <w:tc>
          <w:tcPr>
            <w:tcW w:w="773" w:type="dxa"/>
            <w:vMerge w:val="restart"/>
            <w:noWrap w:val="0"/>
            <w:vAlign w:val="center"/>
          </w:tcPr>
          <w:p>
            <w:pPr>
              <w:spacing w:line="360" w:lineRule="exact"/>
              <w:jc w:val="center"/>
              <w:rPr>
                <w:rFonts w:ascii="宋体" w:cs="宋体"/>
                <w:szCs w:val="21"/>
              </w:rPr>
            </w:pPr>
            <w:r>
              <w:rPr>
                <w:rFonts w:hint="eastAsia" w:ascii="宋体" w:hAnsi="宋体" w:cs="宋体"/>
                <w:szCs w:val="21"/>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726" w:type="dxa"/>
            <w:tcBorders>
              <w:right w:val="single" w:color="auto" w:sz="4" w:space="0"/>
            </w:tcBorders>
            <w:noWrap w:val="0"/>
            <w:vAlign w:val="center"/>
          </w:tcPr>
          <w:p>
            <w:pPr>
              <w:spacing w:line="360" w:lineRule="exact"/>
              <w:jc w:val="center"/>
              <w:rPr>
                <w:rFonts w:ascii="宋体" w:cs="宋体"/>
                <w:szCs w:val="21"/>
              </w:rPr>
            </w:pPr>
            <w:r>
              <w:rPr>
                <w:rFonts w:hint="eastAsia" w:ascii="宋体" w:hAnsi="宋体" w:cs="宋体"/>
                <w:szCs w:val="21"/>
              </w:rPr>
              <w:t>评价指标</w:t>
            </w:r>
          </w:p>
        </w:tc>
        <w:tc>
          <w:tcPr>
            <w:tcW w:w="1302" w:type="dxa"/>
            <w:gridSpan w:val="2"/>
            <w:tcBorders>
              <w:left w:val="single" w:color="auto" w:sz="4" w:space="0"/>
            </w:tcBorders>
            <w:noWrap w:val="0"/>
            <w:vAlign w:val="center"/>
          </w:tcPr>
          <w:p>
            <w:pPr>
              <w:spacing w:line="360" w:lineRule="exact"/>
              <w:jc w:val="center"/>
              <w:rPr>
                <w:rFonts w:ascii="宋体" w:cs="宋体"/>
                <w:szCs w:val="21"/>
              </w:rPr>
            </w:pPr>
            <w:r>
              <w:rPr>
                <w:rFonts w:hint="eastAsia" w:ascii="宋体" w:hAnsi="宋体" w:cs="宋体"/>
                <w:szCs w:val="21"/>
              </w:rPr>
              <w:t>厂区要求</w:t>
            </w:r>
          </w:p>
        </w:tc>
        <w:tc>
          <w:tcPr>
            <w:tcW w:w="1304" w:type="dxa"/>
            <w:gridSpan w:val="2"/>
            <w:noWrap w:val="0"/>
            <w:vAlign w:val="center"/>
          </w:tcPr>
          <w:p>
            <w:pPr>
              <w:spacing w:line="360" w:lineRule="exact"/>
              <w:jc w:val="center"/>
              <w:rPr>
                <w:rFonts w:ascii="宋体" w:cs="宋体"/>
                <w:szCs w:val="21"/>
              </w:rPr>
            </w:pPr>
            <w:r>
              <w:rPr>
                <w:rFonts w:hint="eastAsia" w:ascii="宋体" w:hAnsi="宋体" w:cs="宋体"/>
                <w:szCs w:val="21"/>
              </w:rPr>
              <w:t>设备设施</w:t>
            </w:r>
          </w:p>
        </w:tc>
        <w:tc>
          <w:tcPr>
            <w:tcW w:w="1302" w:type="dxa"/>
            <w:gridSpan w:val="2"/>
            <w:noWrap w:val="0"/>
            <w:vAlign w:val="center"/>
          </w:tcPr>
          <w:p>
            <w:pPr>
              <w:spacing w:line="360" w:lineRule="exact"/>
              <w:jc w:val="center"/>
              <w:rPr>
                <w:rFonts w:ascii="宋体" w:cs="宋体"/>
                <w:szCs w:val="21"/>
              </w:rPr>
            </w:pPr>
            <w:r>
              <w:rPr>
                <w:rFonts w:hint="eastAsia" w:ascii="宋体" w:hAnsi="宋体" w:cs="宋体"/>
                <w:szCs w:val="21"/>
              </w:rPr>
              <w:t>控制要求</w:t>
            </w:r>
          </w:p>
        </w:tc>
        <w:tc>
          <w:tcPr>
            <w:tcW w:w="1304" w:type="dxa"/>
            <w:gridSpan w:val="2"/>
            <w:noWrap w:val="0"/>
            <w:vAlign w:val="center"/>
          </w:tcPr>
          <w:p>
            <w:pPr>
              <w:spacing w:line="360" w:lineRule="exact"/>
              <w:jc w:val="center"/>
              <w:rPr>
                <w:rFonts w:ascii="宋体" w:cs="宋体"/>
                <w:szCs w:val="21"/>
              </w:rPr>
            </w:pPr>
            <w:r>
              <w:rPr>
                <w:rFonts w:hint="eastAsia" w:ascii="宋体" w:hAnsi="宋体" w:cs="宋体"/>
                <w:szCs w:val="21"/>
              </w:rPr>
              <w:t>监测控制</w:t>
            </w:r>
          </w:p>
        </w:tc>
        <w:tc>
          <w:tcPr>
            <w:tcW w:w="1302" w:type="dxa"/>
            <w:gridSpan w:val="2"/>
            <w:noWrap w:val="0"/>
            <w:vAlign w:val="center"/>
          </w:tcPr>
          <w:p>
            <w:pPr>
              <w:spacing w:line="360" w:lineRule="exact"/>
              <w:jc w:val="center"/>
              <w:rPr>
                <w:rFonts w:ascii="宋体" w:cs="宋体"/>
                <w:szCs w:val="21"/>
              </w:rPr>
            </w:pPr>
            <w:r>
              <w:rPr>
                <w:rFonts w:hint="eastAsia" w:ascii="宋体" w:hAnsi="宋体" w:cs="宋体"/>
                <w:szCs w:val="21"/>
              </w:rPr>
              <w:t>控制技术</w:t>
            </w:r>
          </w:p>
        </w:tc>
        <w:tc>
          <w:tcPr>
            <w:tcW w:w="1306" w:type="dxa"/>
            <w:gridSpan w:val="2"/>
            <w:noWrap w:val="0"/>
            <w:vAlign w:val="center"/>
          </w:tcPr>
          <w:p>
            <w:pPr>
              <w:spacing w:line="360" w:lineRule="exact"/>
              <w:jc w:val="center"/>
              <w:rPr>
                <w:rFonts w:ascii="宋体" w:cs="宋体"/>
                <w:szCs w:val="21"/>
              </w:rPr>
            </w:pPr>
            <w:r>
              <w:rPr>
                <w:rFonts w:hint="eastAsia" w:ascii="宋体" w:hAnsi="宋体" w:cs="宋体"/>
                <w:szCs w:val="21"/>
              </w:rPr>
              <w:t>控制技术</w:t>
            </w:r>
          </w:p>
        </w:tc>
        <w:tc>
          <w:tcPr>
            <w:tcW w:w="773" w:type="dxa"/>
            <w:vMerge w:val="continue"/>
            <w:noWrap w:val="0"/>
            <w:vAlign w:val="center"/>
          </w:tcPr>
          <w:p>
            <w:pPr>
              <w:spacing w:line="360" w:lineRule="exact"/>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26" w:type="dxa"/>
            <w:tcBorders>
              <w:right w:val="single" w:color="auto" w:sz="4" w:space="0"/>
            </w:tcBorders>
            <w:noWrap w:val="0"/>
            <w:vAlign w:val="center"/>
          </w:tcPr>
          <w:p>
            <w:pPr>
              <w:spacing w:line="360" w:lineRule="exact"/>
              <w:jc w:val="center"/>
              <w:rPr>
                <w:rFonts w:ascii="宋体" w:cs="宋体"/>
                <w:szCs w:val="21"/>
              </w:rPr>
            </w:pPr>
            <w:r>
              <w:rPr>
                <w:rFonts w:hint="eastAsia" w:ascii="宋体" w:hAnsi="宋体" w:cs="宋体"/>
                <w:szCs w:val="21"/>
              </w:rPr>
              <w:t>指标类型</w:t>
            </w:r>
          </w:p>
        </w:tc>
        <w:tc>
          <w:tcPr>
            <w:tcW w:w="650" w:type="dxa"/>
            <w:tcBorders>
              <w:left w:val="single" w:color="auto" w:sz="4" w:space="0"/>
            </w:tcBorders>
            <w:noWrap w:val="0"/>
            <w:vAlign w:val="center"/>
          </w:tcPr>
          <w:p>
            <w:pPr>
              <w:spacing w:line="360" w:lineRule="exact"/>
              <w:jc w:val="center"/>
              <w:rPr>
                <w:rFonts w:ascii="宋体" w:cs="宋体"/>
                <w:szCs w:val="21"/>
              </w:rPr>
            </w:pPr>
            <w:r>
              <w:rPr>
                <w:rFonts w:hint="eastAsia" w:ascii="宋体" w:hAnsi="宋体" w:cs="宋体"/>
                <w:szCs w:val="21"/>
              </w:rPr>
              <w:t>控</w:t>
            </w:r>
          </w:p>
          <w:p>
            <w:pPr>
              <w:spacing w:line="360" w:lineRule="exact"/>
              <w:jc w:val="center"/>
              <w:rPr>
                <w:rFonts w:ascii="宋体" w:cs="宋体"/>
                <w:szCs w:val="21"/>
              </w:rPr>
            </w:pPr>
            <w:r>
              <w:rPr>
                <w:rFonts w:hint="eastAsia" w:ascii="宋体" w:hAnsi="宋体" w:cs="宋体"/>
                <w:szCs w:val="21"/>
              </w:rPr>
              <w:t>制</w:t>
            </w:r>
          </w:p>
          <w:p>
            <w:pPr>
              <w:spacing w:line="360" w:lineRule="exact"/>
              <w:jc w:val="center"/>
              <w:rPr>
                <w:rFonts w:ascii="宋体" w:cs="宋体"/>
                <w:szCs w:val="21"/>
              </w:rPr>
            </w:pPr>
            <w:r>
              <w:rPr>
                <w:rFonts w:hint="eastAsia" w:ascii="宋体" w:hAnsi="宋体" w:cs="宋体"/>
                <w:szCs w:val="21"/>
              </w:rPr>
              <w:t>项</w:t>
            </w:r>
          </w:p>
        </w:tc>
        <w:tc>
          <w:tcPr>
            <w:tcW w:w="652" w:type="dxa"/>
            <w:noWrap w:val="0"/>
            <w:vAlign w:val="center"/>
          </w:tcPr>
          <w:p>
            <w:pPr>
              <w:spacing w:line="360" w:lineRule="exact"/>
              <w:jc w:val="center"/>
              <w:rPr>
                <w:rFonts w:ascii="宋体" w:cs="宋体"/>
                <w:szCs w:val="21"/>
              </w:rPr>
            </w:pPr>
            <w:r>
              <w:rPr>
                <w:rFonts w:hint="eastAsia" w:ascii="宋体" w:hAnsi="宋体" w:cs="宋体"/>
                <w:szCs w:val="21"/>
              </w:rPr>
              <w:t>一</w:t>
            </w:r>
          </w:p>
          <w:p>
            <w:pPr>
              <w:spacing w:line="360" w:lineRule="exact"/>
              <w:jc w:val="center"/>
              <w:rPr>
                <w:rFonts w:ascii="宋体" w:cs="宋体"/>
                <w:szCs w:val="21"/>
              </w:rPr>
            </w:pPr>
            <w:r>
              <w:rPr>
                <w:rFonts w:hint="eastAsia" w:ascii="宋体" w:hAnsi="宋体" w:cs="宋体"/>
                <w:szCs w:val="21"/>
              </w:rPr>
              <w:t>般</w:t>
            </w:r>
          </w:p>
          <w:p>
            <w:pPr>
              <w:spacing w:line="360" w:lineRule="exact"/>
              <w:jc w:val="center"/>
              <w:rPr>
                <w:rFonts w:ascii="宋体" w:cs="宋体"/>
                <w:szCs w:val="21"/>
              </w:rPr>
            </w:pPr>
            <w:r>
              <w:rPr>
                <w:rFonts w:hint="eastAsia" w:ascii="宋体" w:hAnsi="宋体" w:cs="宋体"/>
                <w:szCs w:val="21"/>
              </w:rPr>
              <w:t>项</w:t>
            </w:r>
          </w:p>
        </w:tc>
        <w:tc>
          <w:tcPr>
            <w:tcW w:w="650" w:type="dxa"/>
            <w:noWrap w:val="0"/>
            <w:vAlign w:val="center"/>
          </w:tcPr>
          <w:p>
            <w:pPr>
              <w:spacing w:line="360" w:lineRule="exact"/>
              <w:jc w:val="center"/>
              <w:rPr>
                <w:rFonts w:ascii="宋体" w:cs="宋体"/>
                <w:szCs w:val="21"/>
              </w:rPr>
            </w:pPr>
            <w:r>
              <w:rPr>
                <w:rFonts w:hint="eastAsia" w:ascii="宋体" w:hAnsi="宋体" w:cs="宋体"/>
                <w:szCs w:val="21"/>
              </w:rPr>
              <w:t>控</w:t>
            </w:r>
          </w:p>
          <w:p>
            <w:pPr>
              <w:spacing w:line="360" w:lineRule="exact"/>
              <w:jc w:val="center"/>
              <w:rPr>
                <w:rFonts w:ascii="宋体" w:cs="宋体"/>
                <w:szCs w:val="21"/>
              </w:rPr>
            </w:pPr>
            <w:r>
              <w:rPr>
                <w:rFonts w:hint="eastAsia" w:ascii="宋体" w:hAnsi="宋体" w:cs="宋体"/>
                <w:szCs w:val="21"/>
              </w:rPr>
              <w:t>制</w:t>
            </w:r>
          </w:p>
          <w:p>
            <w:pPr>
              <w:spacing w:line="360" w:lineRule="exact"/>
              <w:jc w:val="center"/>
              <w:rPr>
                <w:rFonts w:ascii="宋体" w:cs="宋体"/>
                <w:szCs w:val="21"/>
              </w:rPr>
            </w:pPr>
            <w:r>
              <w:rPr>
                <w:rFonts w:hint="eastAsia" w:ascii="宋体" w:hAnsi="宋体" w:cs="宋体"/>
                <w:szCs w:val="21"/>
              </w:rPr>
              <w:t>项</w:t>
            </w:r>
          </w:p>
        </w:tc>
        <w:tc>
          <w:tcPr>
            <w:tcW w:w="654" w:type="dxa"/>
            <w:noWrap w:val="0"/>
            <w:vAlign w:val="center"/>
          </w:tcPr>
          <w:p>
            <w:pPr>
              <w:spacing w:line="360" w:lineRule="exact"/>
              <w:jc w:val="center"/>
              <w:rPr>
                <w:rFonts w:ascii="宋体" w:cs="宋体"/>
                <w:szCs w:val="21"/>
              </w:rPr>
            </w:pPr>
            <w:r>
              <w:rPr>
                <w:rFonts w:hint="eastAsia" w:ascii="宋体" w:hAnsi="宋体" w:cs="宋体"/>
                <w:szCs w:val="21"/>
              </w:rPr>
              <w:t>一</w:t>
            </w:r>
          </w:p>
          <w:p>
            <w:pPr>
              <w:spacing w:line="360" w:lineRule="exact"/>
              <w:jc w:val="center"/>
              <w:rPr>
                <w:rFonts w:ascii="宋体" w:cs="宋体"/>
                <w:szCs w:val="21"/>
              </w:rPr>
            </w:pPr>
            <w:r>
              <w:rPr>
                <w:rFonts w:hint="eastAsia" w:ascii="宋体" w:hAnsi="宋体" w:cs="宋体"/>
                <w:szCs w:val="21"/>
              </w:rPr>
              <w:t>般</w:t>
            </w:r>
          </w:p>
          <w:p>
            <w:pPr>
              <w:spacing w:line="360" w:lineRule="exact"/>
              <w:jc w:val="center"/>
              <w:rPr>
                <w:rFonts w:ascii="宋体" w:cs="宋体"/>
                <w:szCs w:val="21"/>
              </w:rPr>
            </w:pPr>
            <w:r>
              <w:rPr>
                <w:rFonts w:hint="eastAsia" w:ascii="宋体" w:hAnsi="宋体" w:cs="宋体"/>
                <w:szCs w:val="21"/>
              </w:rPr>
              <w:t>项</w:t>
            </w:r>
          </w:p>
        </w:tc>
        <w:tc>
          <w:tcPr>
            <w:tcW w:w="650" w:type="dxa"/>
            <w:noWrap w:val="0"/>
            <w:vAlign w:val="center"/>
          </w:tcPr>
          <w:p>
            <w:pPr>
              <w:spacing w:line="360" w:lineRule="exact"/>
              <w:jc w:val="center"/>
              <w:rPr>
                <w:rFonts w:ascii="宋体" w:cs="宋体"/>
                <w:szCs w:val="21"/>
              </w:rPr>
            </w:pPr>
            <w:r>
              <w:rPr>
                <w:rFonts w:hint="eastAsia" w:ascii="宋体" w:hAnsi="宋体" w:cs="宋体"/>
                <w:szCs w:val="21"/>
              </w:rPr>
              <w:t>控</w:t>
            </w:r>
          </w:p>
          <w:p>
            <w:pPr>
              <w:spacing w:line="360" w:lineRule="exact"/>
              <w:jc w:val="center"/>
              <w:rPr>
                <w:rFonts w:ascii="宋体" w:cs="宋体"/>
                <w:szCs w:val="21"/>
              </w:rPr>
            </w:pPr>
            <w:r>
              <w:rPr>
                <w:rFonts w:hint="eastAsia" w:ascii="宋体" w:hAnsi="宋体" w:cs="宋体"/>
                <w:szCs w:val="21"/>
              </w:rPr>
              <w:t>制</w:t>
            </w:r>
          </w:p>
          <w:p>
            <w:pPr>
              <w:spacing w:line="360" w:lineRule="exact"/>
              <w:jc w:val="center"/>
              <w:rPr>
                <w:rFonts w:ascii="宋体" w:cs="宋体"/>
                <w:szCs w:val="21"/>
              </w:rPr>
            </w:pPr>
            <w:r>
              <w:rPr>
                <w:rFonts w:hint="eastAsia" w:ascii="宋体" w:hAnsi="宋体" w:cs="宋体"/>
                <w:szCs w:val="21"/>
              </w:rPr>
              <w:t>项</w:t>
            </w:r>
          </w:p>
        </w:tc>
        <w:tc>
          <w:tcPr>
            <w:tcW w:w="652" w:type="dxa"/>
            <w:noWrap w:val="0"/>
            <w:vAlign w:val="center"/>
          </w:tcPr>
          <w:p>
            <w:pPr>
              <w:spacing w:line="360" w:lineRule="exact"/>
              <w:jc w:val="center"/>
              <w:rPr>
                <w:rFonts w:ascii="宋体" w:cs="宋体"/>
                <w:szCs w:val="21"/>
              </w:rPr>
            </w:pPr>
            <w:r>
              <w:rPr>
                <w:rFonts w:hint="eastAsia" w:ascii="宋体" w:hAnsi="宋体" w:cs="宋体"/>
                <w:szCs w:val="21"/>
              </w:rPr>
              <w:t>一</w:t>
            </w:r>
          </w:p>
          <w:p>
            <w:pPr>
              <w:spacing w:line="360" w:lineRule="exact"/>
              <w:jc w:val="center"/>
              <w:rPr>
                <w:rFonts w:ascii="宋体" w:cs="宋体"/>
                <w:szCs w:val="21"/>
              </w:rPr>
            </w:pPr>
            <w:r>
              <w:rPr>
                <w:rFonts w:hint="eastAsia" w:ascii="宋体" w:hAnsi="宋体" w:cs="宋体"/>
                <w:szCs w:val="21"/>
              </w:rPr>
              <w:t>般</w:t>
            </w:r>
          </w:p>
          <w:p>
            <w:pPr>
              <w:spacing w:line="360" w:lineRule="exact"/>
              <w:jc w:val="center"/>
              <w:rPr>
                <w:rFonts w:ascii="宋体" w:cs="宋体"/>
                <w:szCs w:val="21"/>
              </w:rPr>
            </w:pPr>
            <w:r>
              <w:rPr>
                <w:rFonts w:hint="eastAsia" w:ascii="宋体" w:hAnsi="宋体" w:cs="宋体"/>
                <w:szCs w:val="21"/>
              </w:rPr>
              <w:t>项</w:t>
            </w:r>
          </w:p>
        </w:tc>
        <w:tc>
          <w:tcPr>
            <w:tcW w:w="650" w:type="dxa"/>
            <w:noWrap w:val="0"/>
            <w:vAlign w:val="center"/>
          </w:tcPr>
          <w:p>
            <w:pPr>
              <w:spacing w:line="360" w:lineRule="exact"/>
              <w:jc w:val="center"/>
              <w:rPr>
                <w:rFonts w:ascii="宋体" w:cs="宋体"/>
                <w:szCs w:val="21"/>
              </w:rPr>
            </w:pPr>
            <w:r>
              <w:rPr>
                <w:rFonts w:hint="eastAsia" w:ascii="宋体" w:hAnsi="宋体" w:cs="宋体"/>
                <w:szCs w:val="21"/>
              </w:rPr>
              <w:t>控</w:t>
            </w:r>
          </w:p>
          <w:p>
            <w:pPr>
              <w:spacing w:line="360" w:lineRule="exact"/>
              <w:jc w:val="center"/>
              <w:rPr>
                <w:rFonts w:ascii="宋体" w:cs="宋体"/>
                <w:szCs w:val="21"/>
              </w:rPr>
            </w:pPr>
            <w:r>
              <w:rPr>
                <w:rFonts w:hint="eastAsia" w:ascii="宋体" w:hAnsi="宋体" w:cs="宋体"/>
                <w:szCs w:val="21"/>
              </w:rPr>
              <w:t>制</w:t>
            </w:r>
          </w:p>
          <w:p>
            <w:pPr>
              <w:spacing w:line="360" w:lineRule="exact"/>
              <w:jc w:val="center"/>
              <w:rPr>
                <w:rFonts w:ascii="宋体" w:cs="宋体"/>
                <w:szCs w:val="21"/>
              </w:rPr>
            </w:pPr>
            <w:r>
              <w:rPr>
                <w:rFonts w:hint="eastAsia" w:ascii="宋体" w:hAnsi="宋体" w:cs="宋体"/>
                <w:szCs w:val="21"/>
              </w:rPr>
              <w:t>项</w:t>
            </w:r>
          </w:p>
        </w:tc>
        <w:tc>
          <w:tcPr>
            <w:tcW w:w="654" w:type="dxa"/>
            <w:noWrap w:val="0"/>
            <w:vAlign w:val="center"/>
          </w:tcPr>
          <w:p>
            <w:pPr>
              <w:spacing w:line="360" w:lineRule="exact"/>
              <w:jc w:val="center"/>
              <w:rPr>
                <w:rFonts w:ascii="宋体" w:cs="宋体"/>
                <w:szCs w:val="21"/>
              </w:rPr>
            </w:pPr>
            <w:r>
              <w:rPr>
                <w:rFonts w:hint="eastAsia" w:ascii="宋体" w:hAnsi="宋体" w:cs="宋体"/>
                <w:szCs w:val="21"/>
              </w:rPr>
              <w:t>一</w:t>
            </w:r>
          </w:p>
          <w:p>
            <w:pPr>
              <w:spacing w:line="360" w:lineRule="exact"/>
              <w:jc w:val="center"/>
              <w:rPr>
                <w:rFonts w:ascii="宋体" w:cs="宋体"/>
                <w:szCs w:val="21"/>
              </w:rPr>
            </w:pPr>
            <w:r>
              <w:rPr>
                <w:rFonts w:hint="eastAsia" w:ascii="宋体" w:hAnsi="宋体" w:cs="宋体"/>
                <w:szCs w:val="21"/>
              </w:rPr>
              <w:t>般</w:t>
            </w:r>
          </w:p>
          <w:p>
            <w:pPr>
              <w:spacing w:line="360" w:lineRule="exact"/>
              <w:jc w:val="center"/>
              <w:rPr>
                <w:rFonts w:ascii="宋体" w:cs="宋体"/>
                <w:szCs w:val="21"/>
              </w:rPr>
            </w:pPr>
            <w:r>
              <w:rPr>
                <w:rFonts w:hint="eastAsia" w:ascii="宋体" w:hAnsi="宋体" w:cs="宋体"/>
                <w:szCs w:val="21"/>
              </w:rPr>
              <w:t>项</w:t>
            </w:r>
          </w:p>
        </w:tc>
        <w:tc>
          <w:tcPr>
            <w:tcW w:w="650" w:type="dxa"/>
            <w:noWrap w:val="0"/>
            <w:vAlign w:val="center"/>
          </w:tcPr>
          <w:p>
            <w:pPr>
              <w:spacing w:line="360" w:lineRule="exact"/>
              <w:jc w:val="center"/>
              <w:rPr>
                <w:rFonts w:ascii="宋体" w:cs="宋体"/>
                <w:szCs w:val="21"/>
              </w:rPr>
            </w:pPr>
            <w:r>
              <w:rPr>
                <w:rFonts w:hint="eastAsia" w:ascii="宋体" w:hAnsi="宋体" w:cs="宋体"/>
                <w:szCs w:val="21"/>
              </w:rPr>
              <w:t>控</w:t>
            </w:r>
          </w:p>
          <w:p>
            <w:pPr>
              <w:spacing w:line="360" w:lineRule="exact"/>
              <w:jc w:val="center"/>
              <w:rPr>
                <w:rFonts w:ascii="宋体" w:cs="宋体"/>
                <w:szCs w:val="21"/>
              </w:rPr>
            </w:pPr>
            <w:r>
              <w:rPr>
                <w:rFonts w:hint="eastAsia" w:ascii="宋体" w:hAnsi="宋体" w:cs="宋体"/>
                <w:szCs w:val="21"/>
              </w:rPr>
              <w:t>制</w:t>
            </w:r>
          </w:p>
          <w:p>
            <w:pPr>
              <w:spacing w:line="360" w:lineRule="exact"/>
              <w:jc w:val="center"/>
              <w:rPr>
                <w:rFonts w:ascii="宋体" w:cs="宋体"/>
                <w:szCs w:val="21"/>
              </w:rPr>
            </w:pPr>
            <w:r>
              <w:rPr>
                <w:rFonts w:hint="eastAsia" w:ascii="宋体" w:hAnsi="宋体" w:cs="宋体"/>
                <w:szCs w:val="21"/>
              </w:rPr>
              <w:t>项</w:t>
            </w:r>
          </w:p>
        </w:tc>
        <w:tc>
          <w:tcPr>
            <w:tcW w:w="652" w:type="dxa"/>
            <w:noWrap w:val="0"/>
            <w:vAlign w:val="center"/>
          </w:tcPr>
          <w:p>
            <w:pPr>
              <w:spacing w:line="360" w:lineRule="exact"/>
              <w:jc w:val="center"/>
              <w:rPr>
                <w:rFonts w:ascii="宋体" w:cs="宋体"/>
                <w:szCs w:val="21"/>
              </w:rPr>
            </w:pPr>
            <w:r>
              <w:rPr>
                <w:rFonts w:hint="eastAsia" w:ascii="宋体" w:hAnsi="宋体" w:cs="宋体"/>
                <w:szCs w:val="21"/>
              </w:rPr>
              <w:t>一</w:t>
            </w:r>
          </w:p>
          <w:p>
            <w:pPr>
              <w:spacing w:line="360" w:lineRule="exact"/>
              <w:jc w:val="center"/>
              <w:rPr>
                <w:rFonts w:ascii="宋体" w:cs="宋体"/>
                <w:szCs w:val="21"/>
              </w:rPr>
            </w:pPr>
            <w:r>
              <w:rPr>
                <w:rFonts w:hint="eastAsia" w:ascii="宋体" w:hAnsi="宋体" w:cs="宋体"/>
                <w:szCs w:val="21"/>
              </w:rPr>
              <w:t>般</w:t>
            </w:r>
          </w:p>
          <w:p>
            <w:pPr>
              <w:spacing w:line="360" w:lineRule="exact"/>
              <w:jc w:val="center"/>
              <w:rPr>
                <w:rFonts w:ascii="宋体" w:cs="宋体"/>
                <w:szCs w:val="21"/>
              </w:rPr>
            </w:pPr>
            <w:r>
              <w:rPr>
                <w:rFonts w:hint="eastAsia" w:ascii="宋体" w:hAnsi="宋体" w:cs="宋体"/>
                <w:szCs w:val="21"/>
              </w:rPr>
              <w:t>项</w:t>
            </w:r>
          </w:p>
        </w:tc>
        <w:tc>
          <w:tcPr>
            <w:tcW w:w="650" w:type="dxa"/>
            <w:noWrap w:val="0"/>
            <w:vAlign w:val="center"/>
          </w:tcPr>
          <w:p>
            <w:pPr>
              <w:spacing w:line="360" w:lineRule="exact"/>
              <w:jc w:val="center"/>
              <w:rPr>
                <w:rFonts w:ascii="宋体" w:cs="宋体"/>
                <w:szCs w:val="21"/>
              </w:rPr>
            </w:pPr>
            <w:r>
              <w:rPr>
                <w:rFonts w:hint="eastAsia" w:ascii="宋体" w:hAnsi="宋体" w:cs="宋体"/>
                <w:szCs w:val="21"/>
              </w:rPr>
              <w:t>控</w:t>
            </w:r>
          </w:p>
          <w:p>
            <w:pPr>
              <w:spacing w:line="360" w:lineRule="exact"/>
              <w:jc w:val="center"/>
              <w:rPr>
                <w:rFonts w:ascii="宋体" w:cs="宋体"/>
                <w:szCs w:val="21"/>
              </w:rPr>
            </w:pPr>
            <w:r>
              <w:rPr>
                <w:rFonts w:hint="eastAsia" w:ascii="宋体" w:hAnsi="宋体" w:cs="宋体"/>
                <w:szCs w:val="21"/>
              </w:rPr>
              <w:t>制</w:t>
            </w:r>
          </w:p>
          <w:p>
            <w:pPr>
              <w:spacing w:line="360" w:lineRule="exact"/>
              <w:jc w:val="center"/>
              <w:rPr>
                <w:rFonts w:ascii="宋体" w:cs="宋体"/>
                <w:szCs w:val="21"/>
              </w:rPr>
            </w:pPr>
            <w:r>
              <w:rPr>
                <w:rFonts w:hint="eastAsia" w:ascii="宋体" w:hAnsi="宋体" w:cs="宋体"/>
                <w:szCs w:val="21"/>
              </w:rPr>
              <w:t>项</w:t>
            </w:r>
          </w:p>
        </w:tc>
        <w:tc>
          <w:tcPr>
            <w:tcW w:w="656" w:type="dxa"/>
            <w:noWrap w:val="0"/>
            <w:vAlign w:val="center"/>
          </w:tcPr>
          <w:p>
            <w:pPr>
              <w:spacing w:line="360" w:lineRule="exact"/>
              <w:jc w:val="center"/>
              <w:rPr>
                <w:rFonts w:ascii="宋体" w:cs="宋体"/>
                <w:szCs w:val="21"/>
              </w:rPr>
            </w:pPr>
            <w:r>
              <w:rPr>
                <w:rFonts w:hint="eastAsia" w:ascii="宋体" w:hAnsi="宋体" w:cs="宋体"/>
                <w:szCs w:val="21"/>
              </w:rPr>
              <w:t>一</w:t>
            </w:r>
          </w:p>
          <w:p>
            <w:pPr>
              <w:spacing w:line="360" w:lineRule="exact"/>
              <w:jc w:val="center"/>
              <w:rPr>
                <w:rFonts w:ascii="宋体" w:cs="宋体"/>
                <w:szCs w:val="21"/>
              </w:rPr>
            </w:pPr>
            <w:r>
              <w:rPr>
                <w:rFonts w:hint="eastAsia" w:ascii="宋体" w:hAnsi="宋体" w:cs="宋体"/>
                <w:szCs w:val="21"/>
              </w:rPr>
              <w:t>般</w:t>
            </w:r>
          </w:p>
          <w:p>
            <w:pPr>
              <w:spacing w:line="360" w:lineRule="exact"/>
              <w:jc w:val="center"/>
              <w:rPr>
                <w:rFonts w:ascii="宋体" w:cs="宋体"/>
                <w:szCs w:val="21"/>
              </w:rPr>
            </w:pPr>
            <w:r>
              <w:rPr>
                <w:rFonts w:hint="eastAsia" w:ascii="宋体" w:hAnsi="宋体" w:cs="宋体"/>
                <w:szCs w:val="21"/>
              </w:rPr>
              <w:t>项</w:t>
            </w:r>
          </w:p>
        </w:tc>
        <w:tc>
          <w:tcPr>
            <w:tcW w:w="773" w:type="dxa"/>
            <w:noWrap w:val="0"/>
            <w:vAlign w:val="center"/>
          </w:tcPr>
          <w:p>
            <w:pPr>
              <w:spacing w:line="360" w:lineRule="exact"/>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726" w:type="dxa"/>
            <w:tcBorders>
              <w:top w:val="single" w:color="auto" w:sz="4" w:space="0"/>
              <w:bottom w:val="single" w:color="auto" w:sz="4" w:space="0"/>
              <w:right w:val="single" w:color="auto" w:sz="4" w:space="0"/>
            </w:tcBorders>
            <w:noWrap w:val="0"/>
            <w:vAlign w:val="center"/>
          </w:tcPr>
          <w:p>
            <w:pPr>
              <w:jc w:val="center"/>
              <w:rPr>
                <w:rFonts w:ascii="宋体" w:cs="宋体"/>
                <w:szCs w:val="21"/>
              </w:rPr>
            </w:pPr>
            <w:r>
              <w:rPr>
                <w:rFonts w:hint="eastAsia" w:ascii="宋体" w:hAnsi="宋体" w:cs="宋体"/>
                <w:szCs w:val="21"/>
              </w:rPr>
              <w:t>评价得分</w:t>
            </w:r>
          </w:p>
        </w:tc>
        <w:tc>
          <w:tcPr>
            <w:tcW w:w="650" w:type="dxa"/>
            <w:tcBorders>
              <w:top w:val="single" w:color="auto" w:sz="4" w:space="0"/>
              <w:left w:val="single" w:color="auto" w:sz="4" w:space="0"/>
              <w:bottom w:val="single" w:color="auto" w:sz="4" w:space="0"/>
            </w:tcBorders>
            <w:noWrap w:val="0"/>
            <w:vAlign w:val="center"/>
          </w:tcPr>
          <w:p>
            <w:pPr>
              <w:jc w:val="center"/>
              <w:rPr>
                <w:rFonts w:ascii="宋体" w:cs="宋体"/>
                <w:szCs w:val="21"/>
              </w:rPr>
            </w:pPr>
          </w:p>
        </w:tc>
        <w:tc>
          <w:tcPr>
            <w:tcW w:w="652" w:type="dxa"/>
            <w:tcBorders>
              <w:top w:val="single" w:color="auto" w:sz="4" w:space="0"/>
              <w:bottom w:val="single" w:color="auto" w:sz="4" w:space="0"/>
            </w:tcBorders>
            <w:noWrap w:val="0"/>
            <w:vAlign w:val="center"/>
          </w:tcPr>
          <w:p>
            <w:pPr>
              <w:jc w:val="center"/>
              <w:rPr>
                <w:rFonts w:ascii="宋体" w:cs="宋体"/>
                <w:szCs w:val="21"/>
              </w:rPr>
            </w:pPr>
          </w:p>
        </w:tc>
        <w:tc>
          <w:tcPr>
            <w:tcW w:w="650" w:type="dxa"/>
            <w:tcBorders>
              <w:top w:val="single" w:color="auto" w:sz="4" w:space="0"/>
              <w:bottom w:val="single" w:color="auto" w:sz="4" w:space="0"/>
            </w:tcBorders>
            <w:noWrap w:val="0"/>
            <w:vAlign w:val="center"/>
          </w:tcPr>
          <w:p>
            <w:pPr>
              <w:jc w:val="center"/>
              <w:rPr>
                <w:rFonts w:ascii="宋体" w:cs="宋体"/>
                <w:szCs w:val="21"/>
              </w:rPr>
            </w:pPr>
          </w:p>
        </w:tc>
        <w:tc>
          <w:tcPr>
            <w:tcW w:w="654" w:type="dxa"/>
            <w:tcBorders>
              <w:top w:val="single" w:color="auto" w:sz="4" w:space="0"/>
              <w:bottom w:val="single" w:color="auto" w:sz="4" w:space="0"/>
            </w:tcBorders>
            <w:noWrap w:val="0"/>
            <w:vAlign w:val="center"/>
          </w:tcPr>
          <w:p>
            <w:pPr>
              <w:jc w:val="center"/>
              <w:rPr>
                <w:rFonts w:ascii="宋体" w:cs="宋体"/>
                <w:szCs w:val="21"/>
              </w:rPr>
            </w:pPr>
          </w:p>
        </w:tc>
        <w:tc>
          <w:tcPr>
            <w:tcW w:w="650" w:type="dxa"/>
            <w:tcBorders>
              <w:top w:val="single" w:color="auto" w:sz="4" w:space="0"/>
              <w:bottom w:val="single" w:color="auto" w:sz="4" w:space="0"/>
            </w:tcBorders>
            <w:noWrap w:val="0"/>
            <w:vAlign w:val="center"/>
          </w:tcPr>
          <w:p>
            <w:pPr>
              <w:jc w:val="center"/>
              <w:rPr>
                <w:rFonts w:ascii="宋体" w:cs="宋体"/>
                <w:szCs w:val="21"/>
              </w:rPr>
            </w:pPr>
          </w:p>
        </w:tc>
        <w:tc>
          <w:tcPr>
            <w:tcW w:w="652" w:type="dxa"/>
            <w:tcBorders>
              <w:top w:val="single" w:color="auto" w:sz="4" w:space="0"/>
              <w:bottom w:val="single" w:color="auto" w:sz="4" w:space="0"/>
            </w:tcBorders>
            <w:noWrap w:val="0"/>
            <w:vAlign w:val="center"/>
          </w:tcPr>
          <w:p>
            <w:pPr>
              <w:jc w:val="center"/>
              <w:rPr>
                <w:rFonts w:ascii="宋体" w:cs="宋体"/>
                <w:szCs w:val="21"/>
              </w:rPr>
            </w:pPr>
          </w:p>
        </w:tc>
        <w:tc>
          <w:tcPr>
            <w:tcW w:w="650" w:type="dxa"/>
            <w:tcBorders>
              <w:top w:val="single" w:color="auto" w:sz="4" w:space="0"/>
              <w:bottom w:val="single" w:color="auto" w:sz="4" w:space="0"/>
            </w:tcBorders>
            <w:noWrap w:val="0"/>
            <w:vAlign w:val="center"/>
          </w:tcPr>
          <w:p>
            <w:pPr>
              <w:jc w:val="center"/>
              <w:rPr>
                <w:rFonts w:ascii="宋体" w:cs="宋体"/>
                <w:szCs w:val="21"/>
              </w:rPr>
            </w:pPr>
          </w:p>
        </w:tc>
        <w:tc>
          <w:tcPr>
            <w:tcW w:w="654" w:type="dxa"/>
            <w:tcBorders>
              <w:top w:val="single" w:color="auto" w:sz="4" w:space="0"/>
              <w:bottom w:val="single" w:color="auto" w:sz="4" w:space="0"/>
            </w:tcBorders>
            <w:noWrap w:val="0"/>
            <w:vAlign w:val="center"/>
          </w:tcPr>
          <w:p>
            <w:pPr>
              <w:jc w:val="center"/>
              <w:rPr>
                <w:rFonts w:ascii="宋体" w:cs="宋体"/>
                <w:szCs w:val="21"/>
              </w:rPr>
            </w:pPr>
          </w:p>
        </w:tc>
        <w:tc>
          <w:tcPr>
            <w:tcW w:w="650" w:type="dxa"/>
            <w:tcBorders>
              <w:top w:val="single" w:color="auto" w:sz="4" w:space="0"/>
              <w:bottom w:val="single" w:color="auto" w:sz="4" w:space="0"/>
            </w:tcBorders>
            <w:noWrap w:val="0"/>
            <w:vAlign w:val="center"/>
          </w:tcPr>
          <w:p>
            <w:pPr>
              <w:jc w:val="center"/>
              <w:rPr>
                <w:rFonts w:ascii="宋体" w:cs="宋体"/>
                <w:szCs w:val="21"/>
              </w:rPr>
            </w:pPr>
          </w:p>
        </w:tc>
        <w:tc>
          <w:tcPr>
            <w:tcW w:w="652" w:type="dxa"/>
            <w:tcBorders>
              <w:top w:val="single" w:color="auto" w:sz="4" w:space="0"/>
              <w:bottom w:val="single" w:color="auto" w:sz="4" w:space="0"/>
            </w:tcBorders>
            <w:noWrap w:val="0"/>
            <w:vAlign w:val="center"/>
          </w:tcPr>
          <w:p>
            <w:pPr>
              <w:jc w:val="center"/>
              <w:rPr>
                <w:rFonts w:ascii="宋体" w:cs="宋体"/>
                <w:szCs w:val="21"/>
              </w:rPr>
            </w:pPr>
          </w:p>
        </w:tc>
        <w:tc>
          <w:tcPr>
            <w:tcW w:w="650" w:type="dxa"/>
            <w:tcBorders>
              <w:top w:val="single" w:color="auto" w:sz="4" w:space="0"/>
              <w:bottom w:val="single" w:color="auto" w:sz="4" w:space="0"/>
            </w:tcBorders>
            <w:noWrap w:val="0"/>
            <w:vAlign w:val="center"/>
          </w:tcPr>
          <w:p>
            <w:pPr>
              <w:jc w:val="center"/>
              <w:rPr>
                <w:rFonts w:ascii="宋体" w:cs="宋体"/>
                <w:szCs w:val="21"/>
              </w:rPr>
            </w:pPr>
          </w:p>
        </w:tc>
        <w:tc>
          <w:tcPr>
            <w:tcW w:w="656" w:type="dxa"/>
            <w:tcBorders>
              <w:top w:val="single" w:color="auto" w:sz="4" w:space="0"/>
              <w:bottom w:val="single" w:color="auto" w:sz="4" w:space="0"/>
            </w:tcBorders>
            <w:noWrap w:val="0"/>
            <w:vAlign w:val="center"/>
          </w:tcPr>
          <w:p>
            <w:pPr>
              <w:jc w:val="center"/>
              <w:rPr>
                <w:rFonts w:ascii="宋体" w:cs="宋体"/>
                <w:szCs w:val="21"/>
              </w:rPr>
            </w:pPr>
          </w:p>
        </w:tc>
        <w:tc>
          <w:tcPr>
            <w:tcW w:w="773" w:type="dxa"/>
            <w:tcBorders>
              <w:top w:val="single" w:color="auto" w:sz="4" w:space="0"/>
              <w:bottom w:val="single" w:color="auto" w:sz="4" w:space="0"/>
            </w:tcBorders>
            <w:noWrap w:val="0"/>
            <w:vAlign w:val="center"/>
          </w:tcPr>
          <w:p>
            <w:pPr>
              <w:jc w:val="center"/>
              <w:rPr>
                <w:rFonts w:ascii="宋体" w:cs="宋体"/>
                <w:szCs w:val="21"/>
              </w:rPr>
            </w:pPr>
          </w:p>
        </w:tc>
      </w:tr>
    </w:tbl>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jc w:val="center"/>
        <w:textAlignment w:val="auto"/>
        <w:rPr>
          <w:rFonts w:hint="eastAsia" w:ascii="方正小标宋简体" w:hAnsi="方正小标宋简体" w:eastAsia="方正小标宋简体" w:cs="方正小标宋简体"/>
          <w:b w:val="0"/>
          <w:bCs w:val="0"/>
          <w:color w:val="000000"/>
          <w:kern w:val="44"/>
          <w:sz w:val="32"/>
          <w:szCs w:val="32"/>
          <w:lang w:val="en-US" w:eastAsia="zh-CN"/>
        </w:rPr>
        <w:sectPr>
          <w:headerReference r:id="rId3" w:type="default"/>
          <w:footerReference r:id="rId4" w:type="default"/>
          <w:pgSz w:w="11910" w:h="16840"/>
          <w:pgMar w:top="2098" w:right="1474" w:bottom="1701" w:left="1587" w:header="0" w:footer="1246" w:gutter="0"/>
          <w:pgNumType w:fmt="numberInDash"/>
          <w:cols w:equalWidth="0" w:num="1">
            <w:col w:w="8849"/>
          </w:cols>
        </w:sectPr>
      </w:pPr>
    </w:p>
    <w:p>
      <w:pPr>
        <w:keepNext w:val="0"/>
        <w:keepLines w:val="0"/>
        <w:pageBreakBefore w:val="0"/>
        <w:widowControl w:val="0"/>
        <w:kinsoku/>
        <w:wordWrap/>
        <w:overflowPunct/>
        <w:topLinePunct w:val="0"/>
        <w:autoSpaceDE/>
        <w:autoSpaceDN/>
        <w:bidi w:val="0"/>
        <w:adjustRightInd/>
        <w:snapToGrid/>
        <w:spacing w:line="600" w:lineRule="exact"/>
        <w:ind w:right="-220" w:rightChars="-100"/>
        <w:jc w:val="left"/>
        <w:textAlignment w:val="auto"/>
        <w:rPr>
          <w:rFonts w:hint="eastAsia" w:ascii="Times New Roman" w:hAnsi="Times New Roman" w:eastAsia="仿宋_GB2312" w:cs="Times New Roman"/>
          <w:color w:val="000000"/>
          <w:sz w:val="24"/>
          <w:szCs w:val="24"/>
          <w:lang w:val="en-US" w:eastAsia="zh-CN"/>
        </w:rPr>
      </w:pPr>
    </w:p>
    <w:sectPr>
      <w:pgSz w:w="11910" w:h="16840"/>
      <w:pgMar w:top="2098" w:right="1474" w:bottom="1701" w:left="1587" w:header="0" w:footer="1247" w:gutter="0"/>
      <w:pgNumType w:fmt="numberInDash"/>
      <w:cols w:equalWidth="0" w:num="1">
        <w:col w:w="8849"/>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r>
      <mc:AlternateContent>
        <mc:Choice Requires="wps">
          <w:drawing>
            <wp:anchor distT="0" distB="0" distL="114300" distR="114300" simplePos="0" relativeHeight="251439104" behindDoc="1" locked="0" layoutInCell="1" allowOverlap="1">
              <wp:simplePos x="0" y="0"/>
              <wp:positionH relativeFrom="page">
                <wp:posOffset>3679825</wp:posOffset>
              </wp:positionH>
              <wp:positionV relativeFrom="page">
                <wp:posOffset>9760585</wp:posOffset>
              </wp:positionV>
              <wp:extent cx="272415" cy="1524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txbxContent>
                    </wps:txbx>
                    <wps:bodyPr lIns="0" tIns="0" rIns="0" bIns="0" upright="1"/>
                  </wps:wsp>
                </a:graphicData>
              </a:graphic>
            </wp:anchor>
          </w:drawing>
        </mc:Choice>
        <mc:Fallback>
          <w:pict>
            <v:shape id="文本框 1" o:spid="_x0000_s1026" o:spt="202" type="#_x0000_t202" style="position:absolute;left:0pt;margin-left:289.75pt;margin-top:768.55pt;height:12pt;width:21.45pt;mso-position-horizontal-relative:page;mso-position-vertical-relative:page;z-index:-251877376;mso-width-relative:page;mso-height-relative:page;" filled="f" stroked="f" coordsize="21600,21600" o:gfxdata="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McIZvbAAAADQEAAA8AAAAA&#10;AAAAAQAgAAAAIgAAAGRycy9kb3ducmV2LnhtbFBLAQIUABQAAAAIAIdO4kBRRjtPnwEAACMDAAAO&#10;AAAAAAAAAAEAIAAAACoBAABkcnMvZTJvRG9jLnhtbFBLBQYAAAAABgAGAFkBAAA7BQAAAAA=&#10;">
              <v:fill on="f" focussize="0,0"/>
              <v:stroke on="f"/>
              <v:imagedata o:title=""/>
              <o:lock v:ext="edit" aspectratio="f"/>
              <v:textbox inset="0mm,0mm,0mm,0mm">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C4467"/>
    <w:multiLevelType w:val="singleLevel"/>
    <w:tmpl w:val="57FC4467"/>
    <w:lvl w:ilvl="0" w:tentative="0">
      <w:start w:val="1"/>
      <w:numFmt w:val="decimal"/>
      <w:suff w:val="nothing"/>
      <w:lvlText w:val="%1."/>
      <w:lvlJc w:val="left"/>
      <w:rPr>
        <w:rFonts w:cs="Times New Roman"/>
      </w:rPr>
    </w:lvl>
  </w:abstractNum>
  <w:abstractNum w:abstractNumId="1">
    <w:nsid w:val="57FC45EC"/>
    <w:multiLevelType w:val="singleLevel"/>
    <w:tmpl w:val="57FC45EC"/>
    <w:lvl w:ilvl="0" w:tentative="0">
      <w:start w:val="1"/>
      <w:numFmt w:val="decimal"/>
      <w:suff w:val="nothing"/>
      <w:lvlText w:val="%1."/>
      <w:lvlJc w:val="left"/>
      <w:rPr>
        <w:rFonts w:cs="Times New Roman"/>
      </w:rPr>
    </w:lvl>
  </w:abstractNum>
  <w:abstractNum w:abstractNumId="2">
    <w:nsid w:val="57FC4E13"/>
    <w:multiLevelType w:val="singleLevel"/>
    <w:tmpl w:val="57FC4E13"/>
    <w:lvl w:ilvl="0" w:tentative="0">
      <w:start w:val="1"/>
      <w:numFmt w:val="decimal"/>
      <w:suff w:val="nothing"/>
      <w:lvlText w:val="%1."/>
      <w:lvlJc w:val="left"/>
      <w:rPr>
        <w:rFonts w:cs="Times New Roman"/>
      </w:rPr>
    </w:lvl>
  </w:abstractNum>
  <w:abstractNum w:abstractNumId="3">
    <w:nsid w:val="57FC504E"/>
    <w:multiLevelType w:val="singleLevel"/>
    <w:tmpl w:val="57FC504E"/>
    <w:lvl w:ilvl="0" w:tentative="0">
      <w:start w:val="1"/>
      <w:numFmt w:val="decimal"/>
      <w:suff w:val="nothing"/>
      <w:lvlText w:val="%1."/>
      <w:lvlJc w:val="left"/>
      <w:rPr>
        <w:rFonts w:cs="Times New Roman"/>
      </w:rPr>
    </w:lvl>
  </w:abstractNum>
  <w:abstractNum w:abstractNumId="4">
    <w:nsid w:val="57FC522A"/>
    <w:multiLevelType w:val="singleLevel"/>
    <w:tmpl w:val="57FC522A"/>
    <w:lvl w:ilvl="0" w:tentative="0">
      <w:start w:val="1"/>
      <w:numFmt w:val="decimal"/>
      <w:suff w:val="nothing"/>
      <w:lvlText w:val="%1."/>
      <w:lvlJc w:val="left"/>
      <w:rPr>
        <w:rFonts w:cs="Times New Roman"/>
      </w:rPr>
    </w:lvl>
  </w:abstractNum>
  <w:abstractNum w:abstractNumId="5">
    <w:nsid w:val="57FC5554"/>
    <w:multiLevelType w:val="singleLevel"/>
    <w:tmpl w:val="57FC5554"/>
    <w:lvl w:ilvl="0" w:tentative="0">
      <w:start w:val="1"/>
      <w:numFmt w:val="decimal"/>
      <w:suff w:val="nothing"/>
      <w:lvlText w:val="%1."/>
      <w:lvlJc w:val="left"/>
      <w:rPr>
        <w:rFonts w:cs="Times New Roman"/>
      </w:rPr>
    </w:lvl>
  </w:abstractNum>
  <w:abstractNum w:abstractNumId="6">
    <w:nsid w:val="57FC562F"/>
    <w:multiLevelType w:val="singleLevel"/>
    <w:tmpl w:val="57FC562F"/>
    <w:lvl w:ilvl="0" w:tentative="0">
      <w:start w:val="1"/>
      <w:numFmt w:val="decimal"/>
      <w:suff w:val="nothing"/>
      <w:lvlText w:val="%1."/>
      <w:lvlJc w:val="left"/>
      <w:rPr>
        <w:rFonts w:cs="Times New Roman"/>
      </w:rPr>
    </w:lvl>
  </w:abstractNum>
  <w:abstractNum w:abstractNumId="7">
    <w:nsid w:val="57FC59E2"/>
    <w:multiLevelType w:val="singleLevel"/>
    <w:tmpl w:val="57FC59E2"/>
    <w:lvl w:ilvl="0" w:tentative="0">
      <w:start w:val="1"/>
      <w:numFmt w:val="decimal"/>
      <w:suff w:val="nothing"/>
      <w:lvlText w:val="%1."/>
      <w:lvlJc w:val="left"/>
      <w:rPr>
        <w:rFonts w:cs="Times New Roman"/>
      </w:rPr>
    </w:lvl>
  </w:abstractNum>
  <w:abstractNum w:abstractNumId="8">
    <w:nsid w:val="57FC5AC1"/>
    <w:multiLevelType w:val="singleLevel"/>
    <w:tmpl w:val="57FC5AC1"/>
    <w:lvl w:ilvl="0" w:tentative="0">
      <w:start w:val="1"/>
      <w:numFmt w:val="decimal"/>
      <w:suff w:val="nothing"/>
      <w:lvlText w:val="%1."/>
      <w:lvlJc w:val="left"/>
      <w:rPr>
        <w:rFonts w:cs="Times New Roman"/>
      </w:rPr>
    </w:lvl>
  </w:abstractNum>
  <w:abstractNum w:abstractNumId="9">
    <w:nsid w:val="57FC5B70"/>
    <w:multiLevelType w:val="singleLevel"/>
    <w:tmpl w:val="57FC5B70"/>
    <w:lvl w:ilvl="0" w:tentative="0">
      <w:start w:val="1"/>
      <w:numFmt w:val="decimal"/>
      <w:suff w:val="nothing"/>
      <w:lvlText w:val="%1."/>
      <w:lvlJc w:val="left"/>
      <w:rPr>
        <w:rFonts w:cs="Times New Roman"/>
      </w:rPr>
    </w:lvl>
  </w:abstractNum>
  <w:abstractNum w:abstractNumId="10">
    <w:nsid w:val="57FC5D30"/>
    <w:multiLevelType w:val="singleLevel"/>
    <w:tmpl w:val="57FC5D30"/>
    <w:lvl w:ilvl="0" w:tentative="0">
      <w:start w:val="1"/>
      <w:numFmt w:val="decimal"/>
      <w:suff w:val="nothing"/>
      <w:lvlText w:val="%1."/>
      <w:lvlJc w:val="left"/>
      <w:rPr>
        <w:rFonts w:cs="Times New Roman"/>
      </w:rPr>
    </w:lvl>
  </w:abstractNum>
  <w:abstractNum w:abstractNumId="11">
    <w:nsid w:val="57FC5DEA"/>
    <w:multiLevelType w:val="singleLevel"/>
    <w:tmpl w:val="57FC5DEA"/>
    <w:lvl w:ilvl="0" w:tentative="0">
      <w:start w:val="1"/>
      <w:numFmt w:val="decimal"/>
      <w:suff w:val="nothing"/>
      <w:lvlText w:val="%1."/>
      <w:lvlJc w:val="left"/>
      <w:rPr>
        <w:rFonts w:cs="Times New Roman"/>
      </w:rPr>
    </w:lvl>
  </w:abstractNum>
  <w:abstractNum w:abstractNumId="12">
    <w:nsid w:val="57FC5F26"/>
    <w:multiLevelType w:val="singleLevel"/>
    <w:tmpl w:val="57FC5F26"/>
    <w:lvl w:ilvl="0" w:tentative="0">
      <w:start w:val="1"/>
      <w:numFmt w:val="decimal"/>
      <w:suff w:val="nothing"/>
      <w:lvlText w:val="%1."/>
      <w:lvlJc w:val="left"/>
      <w:rPr>
        <w:rFonts w:cs="Times New Roman"/>
      </w:rPr>
    </w:lvl>
  </w:abstractNum>
  <w:abstractNum w:abstractNumId="13">
    <w:nsid w:val="57FC60BE"/>
    <w:multiLevelType w:val="singleLevel"/>
    <w:tmpl w:val="57FC60BE"/>
    <w:lvl w:ilvl="0" w:tentative="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17444"/>
    <w:rsid w:val="022E7B64"/>
    <w:rsid w:val="023615C4"/>
    <w:rsid w:val="02425615"/>
    <w:rsid w:val="048D74BB"/>
    <w:rsid w:val="04C937CE"/>
    <w:rsid w:val="05B96FD9"/>
    <w:rsid w:val="05F53A5E"/>
    <w:rsid w:val="0730356B"/>
    <w:rsid w:val="0785254F"/>
    <w:rsid w:val="083E181B"/>
    <w:rsid w:val="0C46464C"/>
    <w:rsid w:val="0CA77DE3"/>
    <w:rsid w:val="0E924902"/>
    <w:rsid w:val="0EAD4633"/>
    <w:rsid w:val="11E11E7E"/>
    <w:rsid w:val="163C0C14"/>
    <w:rsid w:val="17ED47D8"/>
    <w:rsid w:val="19F46A4B"/>
    <w:rsid w:val="1A051B3D"/>
    <w:rsid w:val="1A171334"/>
    <w:rsid w:val="1D86257E"/>
    <w:rsid w:val="1E092AC4"/>
    <w:rsid w:val="1F1B218A"/>
    <w:rsid w:val="20B51216"/>
    <w:rsid w:val="21D30E52"/>
    <w:rsid w:val="270C0D7B"/>
    <w:rsid w:val="279F2416"/>
    <w:rsid w:val="2C2E6D07"/>
    <w:rsid w:val="2C7E3F3C"/>
    <w:rsid w:val="2F8C7DF7"/>
    <w:rsid w:val="34032DF9"/>
    <w:rsid w:val="39EC6902"/>
    <w:rsid w:val="3BE05C93"/>
    <w:rsid w:val="3E6D63A4"/>
    <w:rsid w:val="40060C86"/>
    <w:rsid w:val="41B91C69"/>
    <w:rsid w:val="42AA6967"/>
    <w:rsid w:val="442E4A1A"/>
    <w:rsid w:val="45E6581D"/>
    <w:rsid w:val="47163BC5"/>
    <w:rsid w:val="47E9111A"/>
    <w:rsid w:val="504A5776"/>
    <w:rsid w:val="521E2DFF"/>
    <w:rsid w:val="569463B4"/>
    <w:rsid w:val="585F1AFB"/>
    <w:rsid w:val="593F0A05"/>
    <w:rsid w:val="5C1E27E9"/>
    <w:rsid w:val="5C2D4E7B"/>
    <w:rsid w:val="61A703AF"/>
    <w:rsid w:val="61B141C6"/>
    <w:rsid w:val="638C55BD"/>
    <w:rsid w:val="63C211F8"/>
    <w:rsid w:val="63E931E1"/>
    <w:rsid w:val="642D3249"/>
    <w:rsid w:val="6578738E"/>
    <w:rsid w:val="6826397D"/>
    <w:rsid w:val="694F361A"/>
    <w:rsid w:val="69BD7A86"/>
    <w:rsid w:val="6AF16EDA"/>
    <w:rsid w:val="6DA5610C"/>
    <w:rsid w:val="6DB0362D"/>
    <w:rsid w:val="6FFC14C6"/>
    <w:rsid w:val="71611168"/>
    <w:rsid w:val="74B775BA"/>
    <w:rsid w:val="74F002BB"/>
    <w:rsid w:val="78467C11"/>
    <w:rsid w:val="78593791"/>
    <w:rsid w:val="7A762266"/>
    <w:rsid w:val="7AB250B1"/>
    <w:rsid w:val="7C3633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39"/>
      <w:ind w:left="170"/>
      <w:outlineLvl w:val="1"/>
    </w:pPr>
    <w:rPr>
      <w:rFonts w:ascii="宋体" w:hAnsi="宋体" w:eastAsia="宋体" w:cs="宋体"/>
      <w:sz w:val="44"/>
      <w:szCs w:val="44"/>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
      <w:ind w:left="147" w:firstLine="570"/>
      <w:jc w:val="both"/>
    </w:pPr>
    <w:rPr>
      <w:rFonts w:ascii="宋体" w:hAnsi="宋体" w:eastAsia="宋体" w:cs="宋体"/>
      <w:lang w:val="zh-CN" w:eastAsia="zh-CN" w:bidi="zh-CN"/>
    </w:rPr>
  </w:style>
  <w:style w:type="paragraph" w:customStyle="1" w:styleId="11">
    <w:name w:val="Table Paragraph"/>
    <w:basedOn w:val="1"/>
    <w:qFormat/>
    <w:uiPriority w:val="1"/>
    <w:rPr>
      <w:lang w:val="zh-CN" w:eastAsia="zh-CN" w:bidi="zh-CN"/>
    </w:rPr>
  </w:style>
  <w:style w:type="paragraph" w:customStyle="1" w:styleId="12">
    <w:name w:val="表体"/>
    <w:qFormat/>
    <w:uiPriority w:val="0"/>
    <w:pPr>
      <w:widowControl w:val="0"/>
      <w:overflowPunct w:val="0"/>
      <w:adjustRightInd w:val="0"/>
      <w:spacing w:line="300" w:lineRule="atLeast"/>
      <w:jc w:val="center"/>
    </w:pPr>
    <w:rPr>
      <w:rFonts w:ascii="Times New Roman" w:hAnsi="Times New Roman" w:eastAsia="宋体" w:cs="Times New Roman"/>
      <w:color w:val="000000"/>
      <w:kern w:val="24"/>
      <w:sz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2020-09-24T03:20:00Z</dcterms:created>
  <dc:creator>毛旭峰</dc:creator>
  <cp:lastModifiedBy>刘蓓</cp:lastModifiedBy>
  <cp:lastPrinted>2020-10-10T07:21:00Z</cp:lastPrinted>
  <dcterms:modified xsi:type="dcterms:W3CDTF">2020-10-10T09:10:29Z</dcterms:modified>
  <dc:title>贵州省经济和信息化委员会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Creator">
    <vt:lpwstr>WPS Office 专业版</vt:lpwstr>
  </property>
  <property fmtid="{D5CDD505-2E9C-101B-9397-08002B2CF9AE}" pid="4" name="LastSaved">
    <vt:filetime>2014-06-19T00:00:00Z</vt:filetime>
  </property>
  <property fmtid="{D5CDD505-2E9C-101B-9397-08002B2CF9AE}" pid="5" name="KSOProductBuildVer">
    <vt:lpwstr>2052-11.1.0.10000</vt:lpwstr>
  </property>
</Properties>
</file>