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eastAsia" w:ascii="黑体" w:hAnsi="黑体" w:eastAsia="黑体" w:cs="黑体"/>
          <w:spacing w:val="8"/>
          <w:position w:val="1"/>
          <w:sz w:val="40"/>
          <w:szCs w:val="40"/>
          <w:lang w:val="en-US" w:eastAsia="zh-CN"/>
        </w:rPr>
        <w:t>贵州渝黔锰业有限公司日产3000吨熟料新型干法水泥生产线产能置换方案</w:t>
      </w:r>
    </w:p>
    <w:tbl>
      <w:tblPr>
        <w:tblStyle w:val="8"/>
        <w:tblW w:w="150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3"/>
        <w:gridCol w:w="2150"/>
        <w:gridCol w:w="773"/>
        <w:gridCol w:w="986"/>
        <w:gridCol w:w="2691"/>
        <w:gridCol w:w="1816"/>
        <w:gridCol w:w="1934"/>
        <w:gridCol w:w="1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5013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  <w:t>所属情形：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10"/>
                <w:sz w:val="24"/>
                <w:szCs w:val="24"/>
                <w:lang w:eastAsia="zh-CN"/>
              </w:rPr>
              <w:t>非同一法人企业集团内部产能置换转出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13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91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28"/>
                <w:szCs w:val="28"/>
                <w:lang w:val="en-US" w:eastAsia="zh-CN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3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416" w:type="dxa"/>
            <w:gridSpan w:val="5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pacing w:val="5"/>
                <w:sz w:val="28"/>
                <w:szCs w:val="28"/>
                <w:lang w:val="en-US" w:eastAsia="zh-CN"/>
              </w:rPr>
              <w:t>项目名称（一）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凤冈县西部水泥有限公司</w:t>
            </w:r>
          </w:p>
        </w:tc>
        <w:tc>
          <w:tcPr>
            <w:tcW w:w="84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日产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熟料新型干法水泥生产线</w:t>
            </w:r>
          </w:p>
        </w:tc>
        <w:tc>
          <w:tcPr>
            <w:tcW w:w="34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遵义市凤冈县龙泉镇三坝村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9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φ4.2*60m回转窑生产线1台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能耗：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val="en-US" w:eastAsia="zh-CN"/>
              </w:rPr>
              <w:t>99208.82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tec；排放总量：颗粒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val="en-US" w:eastAsia="zh-CN"/>
              </w:rPr>
              <w:t>物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139.032 t/a；</w:t>
            </w:r>
          </w:p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SO2 130 t/a；NOx620t/a。</w:t>
            </w:r>
          </w:p>
        </w:tc>
        <w:tc>
          <w:tcPr>
            <w:tcW w:w="98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本次使用产能2000t/d，减量置换</w:t>
            </w:r>
            <w:r>
              <w:rPr>
                <w:rFonts w:hint="eastAsia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为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1333t/d，合规化补充后产能为：3333t/d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1.5:1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合规化补充产能（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非新建扩建项目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8416" w:type="dxa"/>
            <w:gridSpan w:val="5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pacing w:val="5"/>
                <w:sz w:val="28"/>
                <w:szCs w:val="28"/>
                <w:lang w:val="en-US" w:eastAsia="zh-CN"/>
              </w:rPr>
              <w:t>项目名称（</w:t>
            </w:r>
            <w:r>
              <w:rPr>
                <w:rFonts w:hint="eastAsia" w:ascii="黑体" w:hAnsi="黑体" w:eastAsia="黑体" w:cs="黑体"/>
                <w:b/>
                <w:bCs/>
                <w:spacing w:val="5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黑体" w:hAnsi="黑体" w:eastAsia="黑体" w:cs="黑体"/>
                <w:b/>
                <w:bCs/>
                <w:spacing w:val="5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3464" w:type="dxa"/>
            <w:gridSpan w:val="2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  <w:t>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贵州源锦水泥有限公司</w:t>
            </w:r>
          </w:p>
        </w:tc>
        <w:tc>
          <w:tcPr>
            <w:tcW w:w="84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日产5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熟料新型干法水泥生产线</w:t>
            </w:r>
          </w:p>
        </w:tc>
        <w:tc>
          <w:tcPr>
            <w:tcW w:w="34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遵义市桐梓县茅石镇幸福路10号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98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5.2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highlight w:val="none"/>
                <w:lang w:eastAsia="zh-CN"/>
              </w:rPr>
              <w:t>72m回转窑一台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能耗：154524.15tec；排放总量：颗粒物346.15t/a；SO2 248.2t/a</w:t>
            </w:r>
            <w:bookmarkStart w:id="0" w:name="_GoBack"/>
            <w:bookmarkEnd w:id="0"/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；NOx 1388.9t/a。</w:t>
            </w:r>
          </w:p>
        </w:tc>
        <w:tc>
          <w:tcPr>
            <w:tcW w:w="98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本次使用产能1000t/d，减量置换</w:t>
            </w:r>
            <w:r>
              <w:rPr>
                <w:rFonts w:hint="eastAsia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为</w:t>
            </w:r>
            <w:r>
              <w:rPr>
                <w:rFonts w:hint="default" w:ascii="Times New Roman" w:hAnsi="Times New Roman" w:eastAsia="仿宋-GB2312" w:cs="Times New Roman"/>
                <w:color w:val="auto"/>
                <w:sz w:val="24"/>
                <w:szCs w:val="24"/>
                <w:lang w:eastAsia="zh-CN"/>
              </w:rPr>
              <w:t>667t/d，合规化补充产能为：5667t/d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1.5:1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合规化补充产能（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非新建扩建项目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>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贵州渝黔锰业有限公司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重庆市博赛矿业（集团）有限公司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遵义市绥阳县蒲场镇沿河村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9152032356502013XD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黔发改工业[2009]484号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(黔)XK08-001-00054</w:t>
            </w:r>
          </w:p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有效期至2027年06月19日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4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φ4.3m*64m回转窑1台</w:t>
            </w:r>
          </w:p>
        </w:tc>
        <w:tc>
          <w:tcPr>
            <w:tcW w:w="84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36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9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6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9152032356502013XD001P</w:t>
            </w:r>
          </w:p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有效期限至2030年11月09日止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4"/>
                <w:szCs w:val="24"/>
                <w:lang w:eastAsia="zh-CN"/>
              </w:rPr>
              <w:t>12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4"/>
                <w:szCs w:val="24"/>
              </w:rPr>
              <w:t>日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val="en-US" w:eastAsia="zh-CN"/>
              </w:rPr>
              <w:t>2026年12月31日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jc w:val="both"/>
        <w:textAlignment w:val="baseline"/>
        <w:rPr>
          <w:rFonts w:hint="default" w:ascii="Times New Roman" w:hAnsi="Times New Roman" w:eastAsia="仿宋-GB2312" w:cs="Times New Roman"/>
          <w:sz w:val="24"/>
          <w:szCs w:val="24"/>
        </w:rPr>
      </w:pPr>
    </w:p>
    <w:sectPr>
      <w:footerReference r:id="rId5" w:type="default"/>
      <w:pgSz w:w="16840" w:h="11900" w:orient="landscape"/>
      <w:pgMar w:top="992" w:right="1431" w:bottom="992" w:left="1429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98D5F59"/>
    <w:rsid w:val="0AD97CBD"/>
    <w:rsid w:val="0DA770F4"/>
    <w:rsid w:val="126F2C4D"/>
    <w:rsid w:val="15B42ABF"/>
    <w:rsid w:val="24170C0B"/>
    <w:rsid w:val="2ADDCFDD"/>
    <w:rsid w:val="38757194"/>
    <w:rsid w:val="3C367516"/>
    <w:rsid w:val="3FAB3DB2"/>
    <w:rsid w:val="3FCAAFD9"/>
    <w:rsid w:val="3FCB5A56"/>
    <w:rsid w:val="4B5B1744"/>
    <w:rsid w:val="4BAD2B37"/>
    <w:rsid w:val="50807464"/>
    <w:rsid w:val="52CF64B0"/>
    <w:rsid w:val="52E57382"/>
    <w:rsid w:val="5BC40FD3"/>
    <w:rsid w:val="5F6935A2"/>
    <w:rsid w:val="663C3103"/>
    <w:rsid w:val="6FE93FB7"/>
    <w:rsid w:val="71E4367F"/>
    <w:rsid w:val="73CFAF42"/>
    <w:rsid w:val="7BFF0641"/>
    <w:rsid w:val="7DF40C39"/>
    <w:rsid w:val="7FE7C089"/>
    <w:rsid w:val="7FED8D30"/>
    <w:rsid w:val="7FFFCD61"/>
    <w:rsid w:val="7FFFEE6A"/>
    <w:rsid w:val="BF6FFD80"/>
    <w:rsid w:val="DE9F3E58"/>
    <w:rsid w:val="DEFFAF8B"/>
    <w:rsid w:val="DFC1E619"/>
    <w:rsid w:val="DFF9761D"/>
    <w:rsid w:val="DFFFFB91"/>
    <w:rsid w:val="E8F7F833"/>
    <w:rsid w:val="F62F36BD"/>
    <w:rsid w:val="F7F5B929"/>
    <w:rsid w:val="FBBD5857"/>
    <w:rsid w:val="FF7F6121"/>
    <w:rsid w:val="FF7F742C"/>
    <w:rsid w:val="FFF5CADC"/>
    <w:rsid w:val="FFFB0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10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701</Words>
  <Characters>960</Characters>
  <TotalTime>3</TotalTime>
  <ScaleCrop>false</ScaleCrop>
  <LinksUpToDate>false</LinksUpToDate>
  <CharactersWithSpaces>965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2024-11-05T16:29:00Z</dcterms:created>
  <dc:creator>刘权</dc:creator>
  <cp:lastModifiedBy>lanfeng87</cp:lastModifiedBy>
  <cp:lastPrinted>2025-12-26T16:20:00Z</cp:lastPrinted>
  <dcterms:modified xsi:type="dcterms:W3CDTF">2026-03-05T14:57:41Z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0CD8FD85B8D64BFA986192A68E6691EA_13</vt:lpwstr>
  </property>
  <property fmtid="{D5CDD505-2E9C-101B-9397-08002B2CF9AE}" pid="6" name="KSOTemplateDocerSaveRecord">
    <vt:lpwstr>eyJoZGlkIjoiMzFmMmI4YWZlNjQ1ZTRhNTE0MjY2YzhkZDRhNDE4ZWEiLCJ1c2VySWQiOiIzNDg3Mzg3ODAifQ==</vt:lpwstr>
  </property>
</Properties>
</file>