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DF91D">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p>
    <w:p w14:paraId="7AD78402">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ascii="Arial"/>
          <w:color w:val="auto"/>
          <w:sz w:val="32"/>
          <w:szCs w:val="32"/>
          <w:highlight w:val="none"/>
        </w:rPr>
      </w:pPr>
    </w:p>
    <w:p w14:paraId="3C50D6FD">
      <w:pPr>
        <w:keepNext w:val="0"/>
        <w:keepLines w:val="0"/>
        <w:pageBreakBefore w:val="0"/>
        <w:widowControl w:val="0"/>
        <w:kinsoku w:val="0"/>
        <w:wordWrap/>
        <w:overflowPunct/>
        <w:topLinePunct w:val="0"/>
        <w:autoSpaceDE w:val="0"/>
        <w:autoSpaceDN w:val="0"/>
        <w:bidi w:val="0"/>
        <w:adjustRightInd w:val="0"/>
        <w:snapToGrid w:val="0"/>
        <w:spacing w:line="600" w:lineRule="exact"/>
        <w:ind w:left="0"/>
        <w:jc w:val="center"/>
        <w:textAlignment w:val="baseline"/>
        <w:outlineLvl w:val="0"/>
        <w:rPr>
          <w:rFonts w:hint="eastAsia" w:ascii="方正小标宋简体" w:hAnsi="方正小标宋简体" w:eastAsia="方正小标宋简体" w:cs="方正小标宋简体"/>
          <w:color w:val="auto"/>
          <w:spacing w:val="-2"/>
          <w:sz w:val="44"/>
          <w:szCs w:val="44"/>
          <w:highlight w:val="none"/>
        </w:rPr>
      </w:pPr>
      <w:r>
        <w:rPr>
          <w:rFonts w:hint="eastAsia" w:ascii="方正小标宋简体" w:hAnsi="方正小标宋简体" w:eastAsia="方正小标宋简体" w:cs="方正小标宋简体"/>
          <w:color w:val="auto"/>
          <w:spacing w:val="-2"/>
          <w:sz w:val="44"/>
          <w:szCs w:val="44"/>
          <w:highlight w:val="none"/>
          <w:lang w:eastAsia="zh-CN"/>
        </w:rPr>
        <w:t>贵州省</w:t>
      </w:r>
      <w:r>
        <w:rPr>
          <w:rFonts w:hint="eastAsia" w:ascii="方正小标宋简体" w:hAnsi="方正小标宋简体" w:eastAsia="方正小标宋简体" w:cs="方正小标宋简体"/>
          <w:color w:val="auto"/>
          <w:spacing w:val="-2"/>
          <w:sz w:val="44"/>
          <w:szCs w:val="44"/>
          <w:highlight w:val="none"/>
        </w:rPr>
        <w:t>固定资产投资项目节能审查</w:t>
      </w:r>
    </w:p>
    <w:p w14:paraId="14BE19C1">
      <w:pPr>
        <w:keepNext w:val="0"/>
        <w:keepLines w:val="0"/>
        <w:pageBreakBefore w:val="0"/>
        <w:widowControl w:val="0"/>
        <w:kinsoku w:val="0"/>
        <w:wordWrap/>
        <w:overflowPunct/>
        <w:topLinePunct w:val="0"/>
        <w:autoSpaceDE w:val="0"/>
        <w:autoSpaceDN w:val="0"/>
        <w:bidi w:val="0"/>
        <w:adjustRightInd w:val="0"/>
        <w:snapToGrid w:val="0"/>
        <w:spacing w:line="600" w:lineRule="exact"/>
        <w:ind w:left="0"/>
        <w:jc w:val="center"/>
        <w:textAlignment w:val="baseline"/>
        <w:outlineLvl w:val="0"/>
        <w:rPr>
          <w:rFonts w:ascii="微软雅黑" w:hAnsi="微软雅黑" w:eastAsia="微软雅黑" w:cs="微软雅黑"/>
          <w:color w:val="auto"/>
          <w:sz w:val="44"/>
          <w:szCs w:val="44"/>
          <w:highlight w:val="none"/>
        </w:rPr>
      </w:pPr>
      <w:r>
        <w:rPr>
          <w:rFonts w:hint="eastAsia" w:ascii="方正小标宋简体" w:hAnsi="方正小标宋简体" w:eastAsia="方正小标宋简体" w:cs="方正小标宋简体"/>
          <w:color w:val="auto"/>
          <w:spacing w:val="-2"/>
          <w:sz w:val="44"/>
          <w:szCs w:val="44"/>
          <w:highlight w:val="none"/>
        </w:rPr>
        <w:t>和碳排放评价</w:t>
      </w:r>
      <w:r>
        <w:rPr>
          <w:rFonts w:hint="eastAsia" w:ascii="方正小标宋简体" w:hAnsi="方正小标宋简体" w:eastAsia="方正小标宋简体" w:cs="方正小标宋简体"/>
          <w:color w:val="auto"/>
          <w:spacing w:val="-2"/>
          <w:sz w:val="44"/>
          <w:szCs w:val="44"/>
          <w:highlight w:val="none"/>
          <w:lang w:eastAsia="zh-CN"/>
        </w:rPr>
        <w:t>实施</w:t>
      </w:r>
      <w:r>
        <w:rPr>
          <w:rFonts w:hint="eastAsia" w:ascii="方正小标宋简体" w:hAnsi="方正小标宋简体" w:eastAsia="方正小标宋简体" w:cs="方正小标宋简体"/>
          <w:color w:val="auto"/>
          <w:spacing w:val="-2"/>
          <w:sz w:val="44"/>
          <w:szCs w:val="44"/>
          <w:highlight w:val="none"/>
        </w:rPr>
        <w:t>办法</w:t>
      </w:r>
    </w:p>
    <w:p w14:paraId="23A4667B">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ascii="Arial"/>
          <w:color w:val="auto"/>
          <w:sz w:val="32"/>
          <w:szCs w:val="32"/>
          <w:highlight w:val="none"/>
        </w:rPr>
      </w:pPr>
    </w:p>
    <w:p w14:paraId="3892A5B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ascii="Times New Roman" w:hAnsi="Times New Roman" w:eastAsia="黑体" w:cs="Times New Roman"/>
          <w:color w:val="auto"/>
          <w:sz w:val="32"/>
          <w:szCs w:val="32"/>
          <w:highlight w:val="none"/>
        </w:rPr>
      </w:pPr>
      <w:r>
        <w:rPr>
          <w:rFonts w:ascii="Times New Roman" w:hAnsi="Times New Roman" w:eastAsia="黑体" w:cs="Times New Roman"/>
          <w:color w:val="auto"/>
          <w:spacing w:val="-8"/>
          <w:sz w:val="32"/>
          <w:szCs w:val="32"/>
          <w:highlight w:val="none"/>
        </w:rPr>
        <w:t>第一章</w:t>
      </w:r>
      <w:r>
        <w:rPr>
          <w:rFonts w:ascii="Times New Roman" w:hAnsi="Times New Roman" w:eastAsia="黑体" w:cs="Times New Roman"/>
          <w:color w:val="auto"/>
          <w:spacing w:val="11"/>
          <w:sz w:val="32"/>
          <w:szCs w:val="32"/>
          <w:highlight w:val="none"/>
        </w:rPr>
        <w:t xml:space="preserve">  </w:t>
      </w:r>
      <w:r>
        <w:rPr>
          <w:rFonts w:ascii="Times New Roman" w:hAnsi="Times New Roman" w:eastAsia="黑体" w:cs="Times New Roman"/>
          <w:color w:val="auto"/>
          <w:spacing w:val="-8"/>
          <w:sz w:val="32"/>
          <w:szCs w:val="32"/>
          <w:highlight w:val="none"/>
        </w:rPr>
        <w:t>总则</w:t>
      </w:r>
    </w:p>
    <w:p w14:paraId="7E4AE1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第一条</w:t>
      </w:r>
      <w:r>
        <w:rPr>
          <w:rFonts w:hint="default" w:ascii="Times New Roman" w:hAnsi="Times New Roman" w:eastAsia="仿宋_GB2312" w:cs="Times New Roman"/>
          <w:color w:val="auto"/>
          <w:spacing w:val="4"/>
          <w:sz w:val="32"/>
          <w:szCs w:val="32"/>
          <w:highlight w:val="none"/>
        </w:rPr>
        <w:t xml:space="preserve"> </w:t>
      </w:r>
      <w:r>
        <w:rPr>
          <w:rFonts w:hint="default" w:ascii="Times New Roman" w:hAnsi="Times New Roman" w:eastAsia="仿宋_GB2312" w:cs="Times New Roman"/>
          <w:color w:val="auto"/>
          <w:spacing w:val="0"/>
          <w:sz w:val="32"/>
          <w:szCs w:val="32"/>
          <w:highlight w:val="none"/>
        </w:rPr>
        <w:t>为建立能耗双控向碳排放双控全面转型新机制，加强固定资产投资项目能源消费和碳排放管理，根据《中华人民共和</w:t>
      </w:r>
      <w:r>
        <w:rPr>
          <w:rFonts w:hint="default" w:ascii="Times New Roman" w:hAnsi="Times New Roman" w:eastAsia="仿宋_GB2312" w:cs="Times New Roman"/>
          <w:color w:val="auto"/>
          <w:sz w:val="32"/>
          <w:szCs w:val="32"/>
          <w:highlight w:val="none"/>
        </w:rPr>
        <w:t>国能源法》《中华人民共和国节约能源法》《中华人民共和国行</w:t>
      </w:r>
      <w:r>
        <w:rPr>
          <w:rFonts w:hint="default" w:ascii="Times New Roman" w:hAnsi="Times New Roman" w:eastAsia="仿宋_GB2312" w:cs="Times New Roman"/>
          <w:color w:val="auto"/>
          <w:spacing w:val="0"/>
          <w:sz w:val="32"/>
          <w:szCs w:val="32"/>
          <w:highlight w:val="none"/>
        </w:rPr>
        <w:t>政许可法》《民用建筑节能条例》《公共机构节能条例》《固定资产投资项目节能审查和碳排放评价办法》</w:t>
      </w:r>
      <w:r>
        <w:rPr>
          <w:rFonts w:hint="eastAsia" w:ascii="Times New Roman" w:hAnsi="Times New Roman" w:eastAsia="仿宋_GB2312" w:cs="Times New Roman"/>
          <w:color w:val="auto"/>
          <w:spacing w:val="0"/>
          <w:sz w:val="32"/>
          <w:szCs w:val="32"/>
          <w:highlight w:val="none"/>
          <w:lang w:eastAsia="zh-CN"/>
        </w:rPr>
        <w:t>《贵州省节约能源条例》</w:t>
      </w:r>
      <w:r>
        <w:rPr>
          <w:rFonts w:hint="default" w:ascii="Times New Roman" w:hAnsi="Times New Roman" w:eastAsia="仿宋_GB2312" w:cs="Times New Roman"/>
          <w:color w:val="auto"/>
          <w:spacing w:val="0"/>
          <w:sz w:val="32"/>
          <w:szCs w:val="32"/>
          <w:highlight w:val="none"/>
        </w:rPr>
        <w:t>等有关法律法规</w:t>
      </w:r>
      <w:r>
        <w:rPr>
          <w:rFonts w:hint="default" w:ascii="Times New Roman" w:hAnsi="Times New Roman" w:eastAsia="仿宋_GB2312" w:cs="Times New Roman"/>
          <w:color w:val="auto"/>
          <w:spacing w:val="0"/>
          <w:sz w:val="32"/>
          <w:szCs w:val="32"/>
          <w:highlight w:val="none"/>
          <w:lang w:eastAsia="zh-CN"/>
        </w:rPr>
        <w:t>，结合我省实际</w:t>
      </w:r>
      <w:r>
        <w:rPr>
          <w:rFonts w:hint="default" w:ascii="Times New Roman" w:hAnsi="Times New Roman" w:eastAsia="仿宋_GB2312" w:cs="Times New Roman"/>
          <w:color w:val="auto"/>
          <w:spacing w:val="0"/>
          <w:sz w:val="32"/>
          <w:szCs w:val="32"/>
          <w:highlight w:val="none"/>
        </w:rPr>
        <w:t>，制定本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w:t>
      </w:r>
    </w:p>
    <w:p w14:paraId="46588636">
      <w:pPr>
        <w:pStyle w:val="2"/>
        <w:keepNext w:val="0"/>
        <w:keepLines w:val="0"/>
        <w:pageBreakBefore w:val="0"/>
        <w:widowControl w:val="0"/>
        <w:kinsoku/>
        <w:wordWrap/>
        <w:overflowPunct/>
        <w:topLinePunct w:val="0"/>
        <w:autoSpaceDE/>
        <w:autoSpaceDN/>
        <w:bidi w:val="0"/>
        <w:adjustRightInd w:val="0"/>
        <w:snapToGrid w:val="0"/>
        <w:spacing w:line="600" w:lineRule="exact"/>
        <w:ind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第二条</w:t>
      </w:r>
      <w:r>
        <w:rPr>
          <w:rFonts w:hint="default" w:ascii="Times New Roman" w:hAnsi="Times New Roman" w:eastAsia="仿宋_GB2312" w:cs="Times New Roman"/>
          <w:color w:val="auto"/>
          <w:spacing w:val="4"/>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本实施办法</w:t>
      </w:r>
      <w:r>
        <w:rPr>
          <w:rFonts w:hint="default" w:ascii="Times New Roman" w:hAnsi="Times New Roman" w:eastAsia="仿宋_GB2312" w:cs="Times New Roman"/>
          <w:color w:val="auto"/>
          <w:spacing w:val="0"/>
          <w:sz w:val="32"/>
          <w:szCs w:val="32"/>
          <w:highlight w:val="none"/>
        </w:rPr>
        <w:t>适用于</w:t>
      </w:r>
      <w:r>
        <w:rPr>
          <w:rFonts w:hint="eastAsia" w:ascii="Times New Roman" w:hAnsi="Times New Roman" w:eastAsia="仿宋_GB2312" w:cs="Times New Roman"/>
          <w:color w:val="auto"/>
          <w:spacing w:val="0"/>
          <w:sz w:val="32"/>
          <w:szCs w:val="32"/>
          <w:highlight w:val="none"/>
          <w:lang w:eastAsia="zh-CN"/>
        </w:rPr>
        <w:t>贵州省</w:t>
      </w:r>
      <w:r>
        <w:rPr>
          <w:rFonts w:hint="default" w:ascii="Times New Roman" w:hAnsi="Times New Roman" w:eastAsia="仿宋_GB2312" w:cs="Times New Roman"/>
          <w:color w:val="auto"/>
          <w:spacing w:val="0"/>
          <w:sz w:val="32"/>
          <w:szCs w:val="32"/>
          <w:highlight w:val="none"/>
        </w:rPr>
        <w:t>各级人民政府投资主管部门管理的在</w:t>
      </w:r>
      <w:r>
        <w:rPr>
          <w:rFonts w:hint="default" w:ascii="Times New Roman" w:hAnsi="Times New Roman" w:eastAsia="仿宋_GB2312" w:cs="Times New Roman"/>
          <w:color w:val="auto"/>
          <w:spacing w:val="0"/>
          <w:sz w:val="32"/>
          <w:szCs w:val="32"/>
          <w:highlight w:val="none"/>
          <w:lang w:eastAsia="zh-CN"/>
        </w:rPr>
        <w:t>贵州省</w:t>
      </w:r>
      <w:r>
        <w:rPr>
          <w:rFonts w:hint="default" w:ascii="Times New Roman" w:hAnsi="Times New Roman" w:eastAsia="仿宋_GB2312" w:cs="Times New Roman"/>
          <w:color w:val="auto"/>
          <w:spacing w:val="0"/>
          <w:sz w:val="32"/>
          <w:szCs w:val="32"/>
          <w:highlight w:val="none"/>
        </w:rPr>
        <w:t>境内建设的固定资产投资项目，包括新建、扩建、改建和技术改造等项目。本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办法所称节能审查，是指根据节能法律法规、政策标准等，对项目能源消费、能效水平及节能措施等情况进行审查，并形成审查意见的行为。本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办法所称碳排放评价，是指在对项目进行节能审查时，按照碳排放双控要求同步对项目碳排放水平、实施影响和降碳措施等进行评价，并形成评价结果的行为。项目碳排放评价结果纳入项目节能审查意见。</w:t>
      </w:r>
    </w:p>
    <w:p w14:paraId="01F8BE95">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default" w:ascii="Times New Roman" w:hAnsi="Times New Roman" w:eastAsia="仿宋_GB2312" w:cs="Times New Roman"/>
          <w:color w:val="auto"/>
          <w:spacing w:val="-3"/>
          <w:sz w:val="32"/>
          <w:szCs w:val="32"/>
          <w:highlight w:val="none"/>
        </w:rPr>
      </w:pPr>
      <w:r>
        <w:rPr>
          <w:rFonts w:hint="default" w:ascii="Times New Roman" w:hAnsi="Times New Roman" w:eastAsia="黑体" w:cs="Times New Roman"/>
          <w:color w:val="auto"/>
          <w:spacing w:val="1"/>
          <w:sz w:val="32"/>
          <w:szCs w:val="32"/>
          <w:highlight w:val="none"/>
        </w:rPr>
        <w:t>第三条</w:t>
      </w:r>
      <w:r>
        <w:rPr>
          <w:rFonts w:hint="default" w:ascii="Times New Roman" w:hAnsi="Times New Roman" w:eastAsia="仿宋_GB2312" w:cs="Times New Roman"/>
          <w:color w:val="auto"/>
          <w:spacing w:val="83"/>
          <w:sz w:val="32"/>
          <w:szCs w:val="32"/>
          <w:highlight w:val="none"/>
        </w:rPr>
        <w:t xml:space="preserve"> </w:t>
      </w:r>
      <w:r>
        <w:rPr>
          <w:rFonts w:hint="default" w:ascii="Times New Roman" w:hAnsi="Times New Roman" w:eastAsia="仿宋_GB2312" w:cs="Times New Roman"/>
          <w:color w:val="auto"/>
          <w:spacing w:val="0"/>
          <w:sz w:val="32"/>
          <w:szCs w:val="32"/>
          <w:highlight w:val="none"/>
        </w:rPr>
        <w:t>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办法规定进行节能审查，或节能审查未通过的项目，建设单位不得开工建设，已经建成的不得投入生产、使用。</w:t>
      </w:r>
    </w:p>
    <w:p w14:paraId="55ABFE0C">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第四条</w:t>
      </w:r>
      <w:r>
        <w:rPr>
          <w:rFonts w:hint="default" w:ascii="Times New Roman" w:hAnsi="Times New Roman" w:eastAsia="仿宋_GB2312" w:cs="Times New Roman"/>
          <w:color w:val="auto"/>
          <w:spacing w:val="81"/>
          <w:sz w:val="32"/>
          <w:szCs w:val="32"/>
          <w:highlight w:val="none"/>
        </w:rPr>
        <w:t xml:space="preserve"> </w:t>
      </w:r>
      <w:r>
        <w:rPr>
          <w:rFonts w:hint="default" w:ascii="Times New Roman" w:hAnsi="Times New Roman" w:eastAsia="仿宋_GB2312" w:cs="Times New Roman"/>
          <w:color w:val="auto"/>
          <w:spacing w:val="0"/>
          <w:sz w:val="32"/>
          <w:szCs w:val="32"/>
          <w:highlight w:val="none"/>
        </w:rPr>
        <w:t>固定资产投资项目节能审查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验收）</w:t>
      </w:r>
      <w:r>
        <w:rPr>
          <w:rFonts w:hint="default" w:ascii="Times New Roman" w:hAnsi="Times New Roman" w:eastAsia="仿宋_GB2312" w:cs="Times New Roman"/>
          <w:color w:val="auto"/>
          <w:spacing w:val="0"/>
          <w:sz w:val="32"/>
          <w:szCs w:val="32"/>
          <w:highlight w:val="none"/>
        </w:rPr>
        <w:t>相关工作经费，按照有关规定纳入部门预算，并按照规定程序向同级财政部门申请。对项目进行节能审查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验收）</w:t>
      </w:r>
      <w:r>
        <w:rPr>
          <w:rFonts w:hint="default" w:ascii="Times New Roman" w:hAnsi="Times New Roman" w:eastAsia="仿宋_GB2312" w:cs="Times New Roman"/>
          <w:color w:val="auto"/>
          <w:spacing w:val="0"/>
          <w:sz w:val="32"/>
          <w:szCs w:val="32"/>
          <w:highlight w:val="none"/>
        </w:rPr>
        <w:t>不得收取任何费用。</w:t>
      </w:r>
    </w:p>
    <w:p w14:paraId="62336C3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第二章  管理职责</w:t>
      </w:r>
    </w:p>
    <w:p w14:paraId="2D48660F">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第五条</w:t>
      </w:r>
      <w:r>
        <w:rPr>
          <w:rFonts w:hint="default" w:ascii="Times New Roman" w:hAnsi="Times New Roman" w:eastAsia="仿宋_GB2312" w:cs="Times New Roman"/>
          <w:color w:val="auto"/>
          <w:spacing w:val="61"/>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省</w:t>
      </w:r>
      <w:r>
        <w:rPr>
          <w:rFonts w:hint="default" w:ascii="Times New Roman" w:hAnsi="Times New Roman" w:eastAsia="仿宋_GB2312" w:cs="Times New Roman"/>
          <w:color w:val="auto"/>
          <w:spacing w:val="0"/>
          <w:sz w:val="32"/>
          <w:szCs w:val="32"/>
          <w:highlight w:val="none"/>
        </w:rPr>
        <w:t>发展改革委</w:t>
      </w:r>
      <w:r>
        <w:rPr>
          <w:rFonts w:hint="eastAsia" w:ascii="Times New Roman" w:hAnsi="Times New Roman" w:eastAsia="仿宋_GB2312" w:cs="Times New Roman"/>
          <w:color w:val="auto"/>
          <w:spacing w:val="0"/>
          <w:sz w:val="32"/>
          <w:szCs w:val="32"/>
          <w:highlight w:val="none"/>
          <w:lang w:eastAsia="zh-CN"/>
        </w:rPr>
        <w:t>负责全省固定资产投资项目节能审查工作的总体指导和统筹协调，会同</w:t>
      </w:r>
      <w:r>
        <w:rPr>
          <w:rFonts w:hint="default" w:ascii="Times New Roman" w:hAnsi="Times New Roman" w:eastAsia="仿宋_GB2312" w:cs="Times New Roman"/>
          <w:color w:val="auto"/>
          <w:spacing w:val="0"/>
          <w:sz w:val="32"/>
          <w:szCs w:val="32"/>
          <w:highlight w:val="none"/>
          <w:lang w:val="en-US" w:eastAsia="zh-CN"/>
        </w:rPr>
        <w:t>省工业和信息化厅</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省能源局</w:t>
      </w:r>
      <w:r>
        <w:rPr>
          <w:rFonts w:hint="default" w:ascii="Times New Roman" w:hAnsi="Times New Roman" w:eastAsia="仿宋_GB2312" w:cs="Times New Roman"/>
          <w:color w:val="auto"/>
          <w:spacing w:val="0"/>
          <w:sz w:val="32"/>
          <w:szCs w:val="32"/>
          <w:highlight w:val="none"/>
        </w:rPr>
        <w:t>负责制定节能审查的相关</w:t>
      </w:r>
      <w:r>
        <w:rPr>
          <w:rFonts w:hint="eastAsia" w:ascii="Times New Roman" w:hAnsi="Times New Roman" w:eastAsia="仿宋_GB2312" w:cs="Times New Roman"/>
          <w:color w:val="auto"/>
          <w:spacing w:val="0"/>
          <w:sz w:val="32"/>
          <w:szCs w:val="32"/>
          <w:highlight w:val="none"/>
          <w:lang w:eastAsia="zh-CN"/>
        </w:rPr>
        <w:t>配套政策</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组织</w:t>
      </w:r>
      <w:r>
        <w:rPr>
          <w:rFonts w:hint="default" w:ascii="Times New Roman" w:hAnsi="Times New Roman" w:eastAsia="仿宋_GB2312" w:cs="Times New Roman"/>
          <w:color w:val="auto"/>
          <w:spacing w:val="0"/>
          <w:sz w:val="32"/>
          <w:szCs w:val="32"/>
          <w:highlight w:val="none"/>
        </w:rPr>
        <w:t>开展业务培训，依据各地能源消费和碳排放形势、节能降碳目标完成情况等，对各地节能审查工作进行督导。</w:t>
      </w:r>
    </w:p>
    <w:p w14:paraId="619E2337">
      <w:pPr>
        <w:pStyle w:val="2"/>
        <w:keepNext w:val="0"/>
        <w:keepLines w:val="0"/>
        <w:pageBreakBefore w:val="0"/>
        <w:widowControl w:val="0"/>
        <w:kinsoku/>
        <w:wordWrap/>
        <w:overflowPunct/>
        <w:topLinePunct w:val="0"/>
        <w:autoSpaceDE/>
        <w:autoSpaceDN/>
        <w:bidi w:val="0"/>
        <w:adjustRightInd w:val="0"/>
        <w:snapToGrid w:val="0"/>
        <w:spacing w:line="600" w:lineRule="exact"/>
        <w:ind w:firstLine="656"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pacing w:val="4"/>
          <w:sz w:val="32"/>
          <w:szCs w:val="32"/>
          <w:highlight w:val="none"/>
        </w:rPr>
        <w:t>第六条</w:t>
      </w:r>
      <w:r>
        <w:rPr>
          <w:rFonts w:hint="default" w:ascii="Times New Roman" w:hAnsi="Times New Roman" w:eastAsia="仿宋_GB2312" w:cs="Times New Roman"/>
          <w:color w:val="auto"/>
          <w:spacing w:val="6"/>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地方各级人民政府管理节能工作的部门应会同有关部门，根据本地节能降碳工作实际，加强对节能审查工作的总体指导和统筹协调，坚持节约优先、能效引领，强化节能降碳指标管理，合理控制化石能源消费，坚决遏制高耗能、高排放、低水平项目盲目上马，积极稳妥推进碳达峰碳中和。</w:t>
      </w:r>
    </w:p>
    <w:p w14:paraId="6B85056D">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76"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黑体" w:cs="Times New Roman"/>
          <w:color w:val="auto"/>
          <w:spacing w:val="9"/>
          <w:sz w:val="32"/>
          <w:szCs w:val="32"/>
          <w:highlight w:val="none"/>
        </w:rPr>
        <w:t>第七条</w:t>
      </w:r>
      <w:r>
        <w:rPr>
          <w:rFonts w:hint="default" w:ascii="Times New Roman" w:hAnsi="Times New Roman" w:eastAsia="仿宋_GB2312" w:cs="Times New Roman"/>
          <w:color w:val="auto"/>
          <w:spacing w:val="88"/>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固定资产投资项目节能审查</w:t>
      </w:r>
      <w:r>
        <w:rPr>
          <w:rFonts w:hint="eastAsia" w:ascii="Times New Roman" w:hAnsi="Times New Roman" w:eastAsia="仿宋_GB2312" w:cs="Times New Roman"/>
          <w:color w:val="auto"/>
          <w:spacing w:val="0"/>
          <w:sz w:val="32"/>
          <w:szCs w:val="32"/>
          <w:highlight w:val="none"/>
          <w:lang w:eastAsia="zh-CN"/>
        </w:rPr>
        <w:t>实行分级分类管理，由市（州）及</w:t>
      </w:r>
      <w:r>
        <w:rPr>
          <w:rFonts w:hint="default" w:ascii="Times New Roman" w:hAnsi="Times New Roman" w:eastAsia="仿宋_GB2312" w:cs="Times New Roman"/>
          <w:color w:val="auto"/>
          <w:spacing w:val="0"/>
          <w:sz w:val="32"/>
          <w:szCs w:val="32"/>
          <w:highlight w:val="none"/>
          <w:lang w:eastAsia="zh-CN"/>
        </w:rPr>
        <w:t>以上发展改革、工业和信息化、能源部门</w:t>
      </w:r>
      <w:r>
        <w:rPr>
          <w:rFonts w:hint="eastAsia" w:ascii="Times New Roman" w:hAnsi="Times New Roman" w:eastAsia="仿宋_GB2312" w:cs="Times New Roman"/>
          <w:color w:val="auto"/>
          <w:spacing w:val="0"/>
          <w:sz w:val="32"/>
          <w:szCs w:val="32"/>
          <w:highlight w:val="none"/>
          <w:lang w:eastAsia="zh-CN"/>
        </w:rPr>
        <w:t>（以下简称“节能审查机关”）</w:t>
      </w:r>
      <w:r>
        <w:rPr>
          <w:rFonts w:hint="eastAsia" w:ascii="Times New Roman" w:hAnsi="Times New Roman" w:eastAsia="仿宋_GB2312" w:cs="Times New Roman"/>
          <w:color w:val="auto"/>
          <w:spacing w:val="0"/>
          <w:sz w:val="32"/>
          <w:szCs w:val="32"/>
          <w:highlight w:val="none"/>
          <w:lang w:val="en-US" w:eastAsia="zh-CN"/>
        </w:rPr>
        <w:t>分别负责</w:t>
      </w:r>
      <w:r>
        <w:rPr>
          <w:rFonts w:hint="default" w:ascii="Times New Roman" w:hAnsi="Times New Roman" w:eastAsia="仿宋_GB2312" w:cs="Times New Roman"/>
          <w:color w:val="auto"/>
          <w:spacing w:val="0"/>
          <w:sz w:val="32"/>
          <w:szCs w:val="32"/>
          <w:highlight w:val="none"/>
          <w:lang w:eastAsia="zh-CN"/>
        </w:rPr>
        <w:t>。</w:t>
      </w:r>
    </w:p>
    <w:p w14:paraId="791CB774">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（一）电力生产、煤矿、煤炭洗选新建、扩建、改建和技术改造项目由能源部门负责；</w:t>
      </w:r>
    </w:p>
    <w:p w14:paraId="06F5C1F3">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（二）制造业领域改建和技术改造项目由工业和信息化部门负责；</w:t>
      </w:r>
    </w:p>
    <w:p w14:paraId="54EE73FF">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（三）除上述（一）、（二）规定范围之外的项目由发展改革部门负责。</w:t>
      </w:r>
    </w:p>
    <w:p w14:paraId="04F54FB0">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节能审查机关与管理节能工作的部门为不同部门的，节能审查机关应与同级管理节能工作的部门加强工作衔接，项目节能审查应征求同级管理节能工作的部门意见，并及时将本部门节能审查实施情况抄送同级管理节能工作的部门。</w:t>
      </w:r>
    </w:p>
    <w:p w14:paraId="7EF127FE">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节能审查机关应当制定并公开服务指南，列明申报材料、受理方式、审查条件、办理流程</w:t>
      </w:r>
      <w:r>
        <w:rPr>
          <w:rFonts w:hint="eastAsia" w:ascii="Times New Roman" w:hAnsi="Times New Roman" w:eastAsia="仿宋_GB2312" w:cs="Times New Roman"/>
          <w:color w:val="auto"/>
          <w:spacing w:val="0"/>
          <w:sz w:val="32"/>
          <w:szCs w:val="32"/>
          <w:highlight w:val="none"/>
          <w:lang w:eastAsia="zh-CN"/>
        </w:rPr>
        <w:t>和</w:t>
      </w:r>
      <w:r>
        <w:rPr>
          <w:rFonts w:hint="default" w:ascii="Times New Roman" w:hAnsi="Times New Roman" w:eastAsia="仿宋_GB2312" w:cs="Times New Roman"/>
          <w:color w:val="auto"/>
          <w:spacing w:val="0"/>
          <w:sz w:val="32"/>
          <w:szCs w:val="32"/>
          <w:highlight w:val="none"/>
          <w:lang w:eastAsia="zh-CN"/>
        </w:rPr>
        <w:t>时限等，为建设单位提供指导和服务，提高工作效能和透明度。上级节能审查机关应加强对下级节能审查机关的</w:t>
      </w:r>
      <w:r>
        <w:rPr>
          <w:rFonts w:hint="eastAsia" w:ascii="Times New Roman" w:hAnsi="Times New Roman" w:eastAsia="仿宋_GB2312" w:cs="Times New Roman"/>
          <w:color w:val="auto"/>
          <w:spacing w:val="0"/>
          <w:sz w:val="32"/>
          <w:szCs w:val="32"/>
          <w:highlight w:val="none"/>
          <w:lang w:eastAsia="zh-CN"/>
        </w:rPr>
        <w:t>业务</w:t>
      </w:r>
      <w:r>
        <w:rPr>
          <w:rFonts w:hint="default" w:ascii="Times New Roman" w:hAnsi="Times New Roman" w:eastAsia="仿宋_GB2312" w:cs="Times New Roman"/>
          <w:color w:val="auto"/>
          <w:spacing w:val="0"/>
          <w:sz w:val="32"/>
          <w:szCs w:val="32"/>
          <w:highlight w:val="none"/>
          <w:lang w:eastAsia="zh-CN"/>
        </w:rPr>
        <w:t>指导。</w:t>
      </w:r>
    </w:p>
    <w:p w14:paraId="1F8E42D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w:t>
      </w:r>
      <w:r>
        <w:rPr>
          <w:rFonts w:hint="default" w:ascii="Times New Roman" w:hAnsi="Times New Roman" w:eastAsia="黑体" w:cs="Times New Roman"/>
          <w:color w:val="auto"/>
          <w:spacing w:val="2"/>
          <w:sz w:val="32"/>
          <w:szCs w:val="32"/>
          <w:highlight w:val="none"/>
          <w:lang w:eastAsia="zh-CN"/>
        </w:rPr>
        <w:t>八</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snapToGrid w:val="0"/>
          <w:color w:val="auto"/>
          <w:spacing w:val="0"/>
          <w:kern w:val="0"/>
          <w:sz w:val="32"/>
          <w:szCs w:val="32"/>
          <w:highlight w:val="none"/>
          <w:lang w:val="en-US" w:eastAsia="zh-CN" w:bidi="ar"/>
        </w:rPr>
        <w:t>节能审查权限根据项目年综合能源消费量实行分级管理，</w:t>
      </w:r>
      <w:r>
        <w:rPr>
          <w:rFonts w:hint="default" w:ascii="Times New Roman" w:hAnsi="Times New Roman" w:eastAsia="仿宋_GB2312" w:cs="Times New Roman"/>
          <w:snapToGrid w:val="0"/>
          <w:color w:val="auto"/>
          <w:spacing w:val="0"/>
          <w:kern w:val="0"/>
          <w:sz w:val="32"/>
          <w:szCs w:val="32"/>
          <w:highlight w:val="none"/>
          <w:lang w:val="en-US" w:eastAsia="zh-CN" w:bidi="ar"/>
        </w:rPr>
        <w:t>项目审批</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核准、备案</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文件明确分期建设的，应在节能报告中明确项目分期建设计划、建设内容及能源消费、碳排放等情况。</w:t>
      </w:r>
    </w:p>
    <w:p w14:paraId="5C6961DE">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pacing w:val="0"/>
          <w:sz w:val="32"/>
          <w:szCs w:val="32"/>
          <w:highlight w:val="none"/>
          <w:lang w:val="en-US" w:eastAsia="zh-CN" w:bidi="ar"/>
        </w:rPr>
      </w:pPr>
      <w:r>
        <w:rPr>
          <w:rFonts w:hint="eastAsia" w:ascii="楷体_GB2312" w:hAnsi="楷体_GB2312" w:eastAsia="楷体_GB2312" w:cs="楷体_GB2312"/>
          <w:color w:val="auto"/>
          <w:spacing w:val="2"/>
          <w:sz w:val="32"/>
          <w:szCs w:val="32"/>
          <w:highlight w:val="none"/>
          <w:lang w:eastAsia="zh-CN"/>
        </w:rPr>
        <w:t>（一）</w:t>
      </w:r>
      <w:r>
        <w:rPr>
          <w:rFonts w:hint="default" w:ascii="Times New Roman" w:hAnsi="Times New Roman" w:eastAsia="仿宋_GB2312" w:cs="Times New Roman"/>
          <w:color w:val="auto"/>
          <w:spacing w:val="0"/>
          <w:sz w:val="32"/>
          <w:szCs w:val="32"/>
          <w:highlight w:val="none"/>
          <w:lang w:eastAsia="zh-CN" w:bidi="ar"/>
        </w:rPr>
        <w:t>国家发展改革委核报国务院审批</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核准</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和国家发展改革委审批</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核准</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的固定资产投资项目，以及年综合能源消费量（建设地点、主要生产工艺和设备未改变的改建和技术改造项目按照建成投产后年综合能源消费增量计算；其他项目按照建成投产后年综合能源消费量计算，电力折算系数按当量值，下同）10000吨标准煤及以上（或年煤炭消费量10000吨及以上）的固定资产投资项目，除应由国家发展改革委审查的，其节能审查由省级节能审查机关负责。</w:t>
      </w:r>
    </w:p>
    <w:p w14:paraId="02BE13D3">
      <w:pPr>
        <w:pStyle w:val="2"/>
        <w:keepNext w:val="0"/>
        <w:keepLines w:val="0"/>
        <w:pageBreakBefore w:val="0"/>
        <w:widowControl w:val="0"/>
        <w:kinsoku/>
        <w:wordWrap/>
        <w:overflowPunct/>
        <w:topLinePunct w:val="0"/>
        <w:autoSpaceDE/>
        <w:autoSpaceDN/>
        <w:bidi w:val="0"/>
        <w:adjustRightInd/>
        <w:snapToGrid/>
        <w:spacing w:line="600" w:lineRule="exact"/>
        <w:ind w:left="0" w:firstLine="648" w:firstLineChars="200"/>
        <w:jc w:val="both"/>
        <w:textAlignment w:val="auto"/>
        <w:rPr>
          <w:rFonts w:hint="default" w:ascii="Times New Roman" w:hAnsi="Times New Roman" w:eastAsia="仿宋_GB2312" w:cs="Times New Roman"/>
          <w:snapToGrid w:val="0"/>
          <w:color w:val="auto"/>
          <w:spacing w:val="4"/>
          <w:kern w:val="0"/>
          <w:sz w:val="32"/>
          <w:szCs w:val="32"/>
          <w:highlight w:val="none"/>
          <w:lang w:val="en-US" w:eastAsia="zh-CN" w:bidi="ar"/>
        </w:rPr>
      </w:pPr>
      <w:r>
        <w:rPr>
          <w:rFonts w:hint="eastAsia" w:ascii="楷体_GB2312" w:hAnsi="楷体_GB2312" w:eastAsia="楷体_GB2312" w:cs="楷体_GB2312"/>
          <w:color w:val="auto"/>
          <w:spacing w:val="2"/>
          <w:sz w:val="32"/>
          <w:szCs w:val="32"/>
          <w:highlight w:val="none"/>
          <w:lang w:eastAsia="zh-CN"/>
        </w:rPr>
        <w:t>（二）</w:t>
      </w:r>
      <w:r>
        <w:rPr>
          <w:rFonts w:hint="default" w:ascii="Times New Roman" w:hAnsi="Times New Roman" w:eastAsia="仿宋_GB2312" w:cs="Times New Roman"/>
          <w:snapToGrid w:val="0"/>
          <w:color w:val="auto"/>
          <w:spacing w:val="0"/>
          <w:kern w:val="0"/>
          <w:sz w:val="32"/>
          <w:szCs w:val="32"/>
          <w:highlight w:val="none"/>
          <w:lang w:val="en-US" w:eastAsia="zh-CN" w:bidi="ar"/>
        </w:rPr>
        <w:t>省投资主管部门审批</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核准、备案</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，且年综合能源消费量1000（含）-</w:t>
      </w:r>
      <w:r>
        <w:rPr>
          <w:rFonts w:hint="default" w:ascii="Times New Roman" w:hAnsi="Times New Roman" w:eastAsia="仿宋_GB2312" w:cs="Times New Roman"/>
          <w:color w:val="auto"/>
          <w:sz w:val="32"/>
          <w:szCs w:val="32"/>
          <w:highlight w:val="none"/>
          <w:u w:val="none"/>
          <w:lang w:eastAsia="zh-CN" w:bidi="ar"/>
        </w:rPr>
        <w:t>10000吨标准煤〔</w:t>
      </w:r>
      <w:r>
        <w:rPr>
          <w:rFonts w:hint="default" w:ascii="Times New Roman" w:hAnsi="Times New Roman" w:eastAsia="仿宋_GB2312" w:cs="Times New Roman"/>
          <w:snapToGrid w:val="0"/>
          <w:color w:val="auto"/>
          <w:spacing w:val="0"/>
          <w:kern w:val="0"/>
          <w:sz w:val="32"/>
          <w:szCs w:val="32"/>
          <w:highlight w:val="none"/>
          <w:lang w:val="en-US" w:eastAsia="zh-CN" w:bidi="ar"/>
        </w:rPr>
        <w:t>或年煤炭消费量1000（含）-10000吨〕的固定资产投资项目，</w:t>
      </w:r>
      <w:r>
        <w:rPr>
          <w:rFonts w:hint="eastAsia" w:ascii="Times New Roman" w:hAnsi="Times New Roman" w:eastAsia="仿宋_GB2312" w:cs="Times New Roman"/>
          <w:snapToGrid w:val="0"/>
          <w:color w:val="auto"/>
          <w:spacing w:val="0"/>
          <w:kern w:val="0"/>
          <w:sz w:val="32"/>
          <w:szCs w:val="32"/>
          <w:highlight w:val="none"/>
          <w:lang w:val="en-US" w:eastAsia="zh-CN" w:bidi="ar"/>
        </w:rPr>
        <w:t>除</w:t>
      </w:r>
      <w:r>
        <w:rPr>
          <w:rFonts w:hint="eastAsia" w:ascii="Times New Roman" w:hAnsi="Times New Roman" w:eastAsia="仿宋_GB2312" w:cs="Times New Roman"/>
          <w:color w:val="auto"/>
          <w:spacing w:val="0"/>
          <w:sz w:val="32"/>
          <w:szCs w:val="32"/>
          <w:highlight w:val="none"/>
          <w:lang w:eastAsia="zh-CN"/>
        </w:rPr>
        <w:t>能源部门负责的</w:t>
      </w:r>
      <w:r>
        <w:rPr>
          <w:rFonts w:hint="default" w:ascii="Times New Roman" w:hAnsi="Times New Roman" w:eastAsia="仿宋_GB2312" w:cs="Times New Roman"/>
          <w:color w:val="auto"/>
          <w:spacing w:val="0"/>
          <w:sz w:val="32"/>
          <w:szCs w:val="32"/>
          <w:highlight w:val="none"/>
          <w:lang w:val="en-US" w:eastAsia="zh-CN"/>
        </w:rPr>
        <w:t>项目由</w:t>
      </w:r>
      <w:r>
        <w:rPr>
          <w:rFonts w:hint="default" w:ascii="Times New Roman" w:hAnsi="Times New Roman" w:eastAsia="仿宋_GB2312" w:cs="Times New Roman"/>
          <w:snapToGrid w:val="0"/>
          <w:color w:val="auto"/>
          <w:spacing w:val="0"/>
          <w:kern w:val="0"/>
          <w:sz w:val="32"/>
          <w:szCs w:val="32"/>
          <w:highlight w:val="none"/>
          <w:lang w:val="en-US" w:eastAsia="zh-CN" w:bidi="ar"/>
        </w:rPr>
        <w:t>市（州）节能审查机关负责</w:t>
      </w:r>
      <w:r>
        <w:rPr>
          <w:rFonts w:hint="eastAsia" w:ascii="Times New Roman" w:hAnsi="Times New Roman" w:eastAsia="仿宋_GB2312" w:cs="Times New Roman"/>
          <w:snapToGrid w:val="0"/>
          <w:color w:val="auto"/>
          <w:spacing w:val="0"/>
          <w:kern w:val="0"/>
          <w:sz w:val="32"/>
          <w:szCs w:val="32"/>
          <w:highlight w:val="none"/>
          <w:lang w:val="en-US" w:eastAsia="zh-CN" w:bidi="ar"/>
        </w:rPr>
        <w:t>外，</w:t>
      </w:r>
      <w:r>
        <w:rPr>
          <w:rFonts w:hint="default" w:ascii="Times New Roman" w:hAnsi="Times New Roman" w:eastAsia="仿宋_GB2312" w:cs="Times New Roman"/>
          <w:snapToGrid w:val="0"/>
          <w:color w:val="auto"/>
          <w:spacing w:val="0"/>
          <w:kern w:val="0"/>
          <w:sz w:val="32"/>
          <w:szCs w:val="32"/>
          <w:highlight w:val="none"/>
          <w:lang w:val="en-US" w:eastAsia="zh-CN" w:bidi="ar"/>
        </w:rPr>
        <w:t>其</w:t>
      </w:r>
      <w:r>
        <w:rPr>
          <w:rFonts w:hint="eastAsia" w:ascii="Times New Roman" w:hAnsi="Times New Roman" w:eastAsia="仿宋_GB2312" w:cs="Times New Roman"/>
          <w:snapToGrid w:val="0"/>
          <w:color w:val="auto"/>
          <w:spacing w:val="0"/>
          <w:kern w:val="0"/>
          <w:sz w:val="32"/>
          <w:szCs w:val="32"/>
          <w:highlight w:val="none"/>
          <w:lang w:val="en-US" w:eastAsia="zh-CN" w:bidi="ar"/>
        </w:rPr>
        <w:t>他项目</w:t>
      </w:r>
      <w:r>
        <w:rPr>
          <w:rFonts w:hint="default" w:ascii="Times New Roman" w:hAnsi="Times New Roman" w:eastAsia="仿宋_GB2312" w:cs="Times New Roman"/>
          <w:snapToGrid w:val="0"/>
          <w:color w:val="auto"/>
          <w:spacing w:val="0"/>
          <w:kern w:val="0"/>
          <w:sz w:val="32"/>
          <w:szCs w:val="32"/>
          <w:highlight w:val="none"/>
          <w:lang w:val="en-US" w:eastAsia="zh-CN" w:bidi="ar"/>
        </w:rPr>
        <w:t>节能审查由省级节能审查机关负责。</w:t>
      </w:r>
    </w:p>
    <w:p w14:paraId="47652321">
      <w:pPr>
        <w:pStyle w:val="2"/>
        <w:keepNext w:val="0"/>
        <w:keepLines w:val="0"/>
        <w:pageBreakBefore w:val="0"/>
        <w:widowControl w:val="0"/>
        <w:kinsoku/>
        <w:wordWrap/>
        <w:overflowPunct/>
        <w:topLinePunct w:val="0"/>
        <w:autoSpaceDE/>
        <w:autoSpaceDN/>
        <w:bidi w:val="0"/>
        <w:adjustRightInd/>
        <w:snapToGrid/>
        <w:spacing w:line="600" w:lineRule="exact"/>
        <w:ind w:left="0" w:firstLine="656" w:firstLineChars="200"/>
        <w:jc w:val="both"/>
        <w:textAlignment w:val="auto"/>
        <w:rPr>
          <w:rFonts w:hint="default" w:ascii="Times New Roman" w:hAnsi="Times New Roman" w:eastAsia="仿宋_GB2312" w:cs="Times New Roman"/>
          <w:snapToGrid w:val="0"/>
          <w:color w:val="auto"/>
          <w:spacing w:val="4"/>
          <w:kern w:val="0"/>
          <w:sz w:val="32"/>
          <w:szCs w:val="32"/>
          <w:highlight w:val="none"/>
          <w:lang w:val="en-US" w:eastAsia="zh-CN" w:bidi="ar"/>
        </w:rPr>
      </w:pPr>
      <w:r>
        <w:rPr>
          <w:rFonts w:hint="eastAsia" w:ascii="楷体_GB2312" w:hAnsi="楷体_GB2312" w:eastAsia="楷体_GB2312" w:cs="楷体_GB2312"/>
          <w:color w:val="auto"/>
          <w:spacing w:val="4"/>
          <w:sz w:val="32"/>
          <w:szCs w:val="32"/>
          <w:highlight w:val="none"/>
          <w:lang w:eastAsia="zh-CN"/>
        </w:rPr>
        <w:t>（三）</w:t>
      </w:r>
      <w:r>
        <w:rPr>
          <w:rFonts w:hint="default" w:ascii="Times New Roman" w:hAnsi="Times New Roman" w:eastAsia="仿宋_GB2312" w:cs="Times New Roman"/>
          <w:snapToGrid w:val="0"/>
          <w:color w:val="auto"/>
          <w:spacing w:val="0"/>
          <w:kern w:val="0"/>
          <w:sz w:val="32"/>
          <w:szCs w:val="32"/>
          <w:highlight w:val="none"/>
          <w:lang w:val="en-US" w:eastAsia="zh-CN" w:bidi="ar"/>
        </w:rPr>
        <w:t>市（州）、县（区）投资主管部门审批</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核准、备案</w:t>
      </w:r>
      <w:r>
        <w:rPr>
          <w:rFonts w:hint="eastAsia" w:ascii="Times New Roman" w:hAnsi="Times New Roman"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，且年综合能源消费量1000（含）-</w:t>
      </w:r>
      <w:r>
        <w:rPr>
          <w:rFonts w:hint="default" w:ascii="Times New Roman" w:hAnsi="Times New Roman" w:eastAsia="仿宋_GB2312" w:cs="Times New Roman"/>
          <w:color w:val="auto"/>
          <w:sz w:val="32"/>
          <w:szCs w:val="32"/>
          <w:highlight w:val="none"/>
          <w:u w:val="none"/>
          <w:lang w:eastAsia="zh-CN" w:bidi="ar"/>
        </w:rPr>
        <w:t>10000吨标准煤〔</w:t>
      </w:r>
      <w:r>
        <w:rPr>
          <w:rFonts w:hint="default" w:ascii="Times New Roman" w:hAnsi="Times New Roman" w:eastAsia="仿宋_GB2312" w:cs="Times New Roman"/>
          <w:snapToGrid w:val="0"/>
          <w:color w:val="auto"/>
          <w:spacing w:val="0"/>
          <w:kern w:val="0"/>
          <w:sz w:val="32"/>
          <w:szCs w:val="32"/>
          <w:highlight w:val="none"/>
          <w:lang w:val="en-US" w:eastAsia="zh-CN" w:bidi="ar"/>
        </w:rPr>
        <w:t>或年煤炭消费量1000（含）-10000吨〕的固定资产投资项目，其节能审查由市（州）节能审查机关负责。</w:t>
      </w:r>
    </w:p>
    <w:p w14:paraId="19DDCA5B">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56" w:firstLineChars="200"/>
        <w:jc w:val="both"/>
        <w:textAlignment w:val="baseline"/>
        <w:rPr>
          <w:rFonts w:hint="default"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4"/>
          <w:sz w:val="32"/>
          <w:szCs w:val="32"/>
          <w:highlight w:val="none"/>
          <w:lang w:eastAsia="zh-CN"/>
        </w:rPr>
        <w:t>（四）</w:t>
      </w:r>
      <w:r>
        <w:rPr>
          <w:rFonts w:hint="default" w:ascii="Times New Roman" w:hAnsi="Times New Roman" w:eastAsia="仿宋_GB2312" w:cs="Times New Roman"/>
          <w:color w:val="auto"/>
          <w:spacing w:val="0"/>
          <w:sz w:val="32"/>
          <w:szCs w:val="32"/>
          <w:highlight w:val="none"/>
          <w:lang w:eastAsia="zh-CN" w:bidi="ar"/>
        </w:rPr>
        <w:t>年综合能源消费量不满1000吨标准煤且年煤炭消费量不满1000吨的固定资产投资项目，涉及国家秘密（保密事项范围及密级应由具备定密权限的机关、单位确定）的固定资产投资项目以及用能工艺简单、节能潜力小的行业（具体行业目录由国家发展改革委制定公布并适时更新）的固定资产投资项目，可不单独编制节能报告。项目建设单位</w:t>
      </w:r>
      <w:r>
        <w:rPr>
          <w:rFonts w:hint="eastAsia" w:ascii="Times New Roman" w:hAnsi="Times New Roman" w:eastAsia="仿宋_GB2312" w:cs="Times New Roman"/>
          <w:color w:val="auto"/>
          <w:spacing w:val="0"/>
          <w:sz w:val="32"/>
          <w:szCs w:val="32"/>
          <w:highlight w:val="none"/>
          <w:lang w:eastAsia="zh-CN" w:bidi="ar"/>
        </w:rPr>
        <w:t>可</w:t>
      </w:r>
      <w:r>
        <w:rPr>
          <w:rFonts w:hint="default" w:ascii="Times New Roman" w:hAnsi="Times New Roman" w:eastAsia="仿宋_GB2312" w:cs="Times New Roman"/>
          <w:color w:val="auto"/>
          <w:spacing w:val="0"/>
          <w:sz w:val="32"/>
          <w:szCs w:val="32"/>
          <w:highlight w:val="none"/>
          <w:lang w:eastAsia="zh-CN" w:bidi="ar"/>
        </w:rPr>
        <w:t>在可行性研究报告或项目申请报告中对项目能源利用、能效</w:t>
      </w:r>
      <w:r>
        <w:rPr>
          <w:rFonts w:hint="eastAsia" w:ascii="Times New Roman" w:hAnsi="Times New Roman" w:eastAsia="仿宋_GB2312" w:cs="Times New Roman"/>
          <w:color w:val="auto"/>
          <w:spacing w:val="0"/>
          <w:sz w:val="32"/>
          <w:szCs w:val="32"/>
          <w:highlight w:val="none"/>
          <w:lang w:eastAsia="zh-CN" w:bidi="ar"/>
        </w:rPr>
        <w:t>和</w:t>
      </w:r>
      <w:r>
        <w:rPr>
          <w:rFonts w:hint="default" w:ascii="Times New Roman" w:hAnsi="Times New Roman" w:eastAsia="仿宋_GB2312" w:cs="Times New Roman"/>
          <w:color w:val="auto"/>
          <w:spacing w:val="0"/>
          <w:sz w:val="32"/>
          <w:szCs w:val="32"/>
          <w:highlight w:val="none"/>
          <w:lang w:eastAsia="zh-CN" w:bidi="ar"/>
        </w:rPr>
        <w:t>碳排放水平</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节能</w:t>
      </w:r>
      <w:r>
        <w:rPr>
          <w:rFonts w:hint="eastAsia" w:ascii="Times New Roman" w:hAnsi="Times New Roman" w:eastAsia="仿宋_GB2312" w:cs="Times New Roman"/>
          <w:color w:val="auto"/>
          <w:spacing w:val="0"/>
          <w:sz w:val="32"/>
          <w:szCs w:val="32"/>
          <w:highlight w:val="none"/>
          <w:lang w:eastAsia="zh-CN" w:bidi="ar"/>
        </w:rPr>
        <w:t>降</w:t>
      </w:r>
      <w:r>
        <w:rPr>
          <w:rFonts w:hint="default" w:ascii="Times New Roman" w:hAnsi="Times New Roman" w:eastAsia="仿宋_GB2312" w:cs="Times New Roman"/>
          <w:color w:val="auto"/>
          <w:spacing w:val="0"/>
          <w:sz w:val="32"/>
          <w:szCs w:val="32"/>
          <w:highlight w:val="none"/>
          <w:lang w:eastAsia="zh-CN" w:bidi="ar"/>
        </w:rPr>
        <w:t>碳措施等进行分析，</w:t>
      </w:r>
      <w:r>
        <w:rPr>
          <w:rFonts w:hint="eastAsia" w:ascii="Times New Roman" w:hAnsi="Times New Roman" w:eastAsia="仿宋_GB2312" w:cs="Times New Roman"/>
          <w:color w:val="auto"/>
          <w:spacing w:val="0"/>
          <w:sz w:val="32"/>
          <w:szCs w:val="32"/>
          <w:highlight w:val="none"/>
          <w:lang w:eastAsia="zh-CN" w:bidi="ar"/>
        </w:rPr>
        <w:t>同时可</w:t>
      </w:r>
      <w:r>
        <w:rPr>
          <w:rFonts w:hint="default" w:ascii="Times New Roman" w:hAnsi="Times New Roman" w:eastAsia="仿宋_GB2312" w:cs="Times New Roman"/>
          <w:color w:val="auto"/>
          <w:spacing w:val="0"/>
          <w:sz w:val="32"/>
          <w:szCs w:val="32"/>
          <w:highlight w:val="none"/>
          <w:lang w:eastAsia="zh-CN" w:bidi="ar"/>
        </w:rPr>
        <w:t>结合能源消费情况出具不单独进行节能审查的说明</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列明项目年综合能源消费量、年煤炭消费量</w:t>
      </w:r>
      <w:r>
        <w:rPr>
          <w:rFonts w:hint="eastAsia" w:ascii="Times New Roman" w:hAnsi="Times New Roman" w:eastAsia="仿宋_GB2312" w:cs="Times New Roman"/>
          <w:color w:val="auto"/>
          <w:spacing w:val="0"/>
          <w:sz w:val="32"/>
          <w:szCs w:val="32"/>
          <w:highlight w:val="none"/>
          <w:lang w:eastAsia="zh-CN" w:bidi="ar"/>
        </w:rPr>
        <w:t>、年碳排放量</w:t>
      </w:r>
      <w:r>
        <w:rPr>
          <w:rFonts w:hint="default" w:ascii="Times New Roman" w:hAnsi="Times New Roman" w:eastAsia="仿宋_GB2312" w:cs="Times New Roman"/>
          <w:color w:val="auto"/>
          <w:spacing w:val="0"/>
          <w:sz w:val="32"/>
          <w:szCs w:val="32"/>
          <w:highlight w:val="none"/>
          <w:lang w:eastAsia="zh-CN" w:bidi="ar"/>
        </w:rPr>
        <w:t>等内容，</w:t>
      </w:r>
      <w:r>
        <w:rPr>
          <w:rFonts w:hint="eastAsia" w:ascii="Times New Roman" w:hAnsi="Times New Roman" w:eastAsia="仿宋_GB2312" w:cs="Times New Roman"/>
          <w:color w:val="auto"/>
          <w:spacing w:val="0"/>
          <w:sz w:val="32"/>
          <w:szCs w:val="32"/>
          <w:highlight w:val="none"/>
          <w:lang w:eastAsia="zh-CN" w:bidi="ar"/>
        </w:rPr>
        <w:t>报送</w:t>
      </w:r>
      <w:r>
        <w:rPr>
          <w:rFonts w:hint="default" w:ascii="Times New Roman" w:hAnsi="Times New Roman" w:eastAsia="仿宋_GB2312" w:cs="Times New Roman"/>
          <w:color w:val="auto"/>
          <w:spacing w:val="0"/>
          <w:sz w:val="32"/>
          <w:szCs w:val="32"/>
          <w:highlight w:val="none"/>
          <w:lang w:val="en-US" w:eastAsia="zh-CN" w:bidi="ar"/>
        </w:rPr>
        <w:t>相应的投资主管部门，</w:t>
      </w:r>
      <w:r>
        <w:rPr>
          <w:rFonts w:hint="default" w:ascii="Times New Roman" w:hAnsi="Times New Roman" w:eastAsia="仿宋_GB2312" w:cs="Times New Roman"/>
          <w:color w:val="auto"/>
          <w:spacing w:val="0"/>
          <w:sz w:val="32"/>
          <w:szCs w:val="32"/>
          <w:highlight w:val="none"/>
          <w:lang w:eastAsia="zh-CN" w:bidi="ar"/>
        </w:rPr>
        <w:t>并</w:t>
      </w:r>
      <w:r>
        <w:rPr>
          <w:rFonts w:hint="eastAsia" w:ascii="Times New Roman" w:hAnsi="Times New Roman" w:eastAsia="仿宋_GB2312" w:cs="Times New Roman"/>
          <w:color w:val="auto"/>
          <w:spacing w:val="0"/>
          <w:sz w:val="32"/>
          <w:szCs w:val="32"/>
          <w:highlight w:val="none"/>
          <w:lang w:eastAsia="zh-CN" w:bidi="ar"/>
        </w:rPr>
        <w:t>承诺</w:t>
      </w:r>
      <w:r>
        <w:rPr>
          <w:rFonts w:hint="default" w:ascii="Times New Roman" w:hAnsi="Times New Roman" w:eastAsia="仿宋_GB2312" w:cs="Times New Roman"/>
          <w:color w:val="auto"/>
          <w:spacing w:val="0"/>
          <w:sz w:val="32"/>
          <w:szCs w:val="32"/>
          <w:highlight w:val="none"/>
          <w:lang w:eastAsia="zh-CN" w:bidi="ar"/>
        </w:rPr>
        <w:t>按照相关节能标准、规范建设。节能审查机关对项目不再单独进行节能审查，不再出具节能审查意见。</w:t>
      </w:r>
    </w:p>
    <w:p w14:paraId="2C228429">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w:t>
      </w:r>
      <w:r>
        <w:rPr>
          <w:rFonts w:hint="default" w:ascii="Times New Roman" w:hAnsi="Times New Roman" w:eastAsia="黑体" w:cs="Times New Roman"/>
          <w:color w:val="auto"/>
          <w:spacing w:val="2"/>
          <w:sz w:val="32"/>
          <w:szCs w:val="32"/>
          <w:highlight w:val="none"/>
          <w:lang w:eastAsia="zh-CN"/>
        </w:rPr>
        <w:t>九</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根据国家发展改革委固定资产投资项目节能审查权限动态调整机制，上收重点领域年综合能源消费量（电力折算系数按等价值或当量值，年综合能源消费量取高值）</w:t>
      </w:r>
      <w:r>
        <w:rPr>
          <w:rFonts w:hint="eastAsia" w:ascii="Times New Roman" w:hAnsi="Times New Roman" w:eastAsia="仿宋_GB2312" w:cs="Times New Roman"/>
          <w:color w:val="auto"/>
          <w:spacing w:val="0"/>
          <w:position w:val="0"/>
          <w:sz w:val="32"/>
          <w:szCs w:val="32"/>
          <w:highlight w:val="none"/>
          <w:lang w:eastAsia="zh-CN" w:bidi="ar"/>
        </w:rPr>
        <w:t>50</w:t>
      </w:r>
      <w:r>
        <w:rPr>
          <w:rFonts w:hint="eastAsia" w:ascii="Times New Roman" w:hAnsi="Times New Roman" w:eastAsia="仿宋_GB2312" w:cs="Times New Roman"/>
          <w:color w:val="auto"/>
          <w:spacing w:val="0"/>
          <w:sz w:val="32"/>
          <w:szCs w:val="32"/>
          <w:highlight w:val="none"/>
          <w:lang w:eastAsia="zh-CN" w:bidi="ar"/>
        </w:rPr>
        <w:t>万吨标准煤及以上（或年煤炭消费量</w:t>
      </w:r>
      <w:r>
        <w:rPr>
          <w:rFonts w:hint="eastAsia" w:ascii="Times New Roman" w:hAnsi="Times New Roman" w:eastAsia="仿宋_GB2312" w:cs="Times New Roman"/>
          <w:color w:val="auto"/>
          <w:spacing w:val="0"/>
          <w:position w:val="0"/>
          <w:sz w:val="32"/>
          <w:szCs w:val="32"/>
          <w:highlight w:val="none"/>
          <w:lang w:eastAsia="zh-CN" w:bidi="ar"/>
        </w:rPr>
        <w:t>50</w:t>
      </w:r>
      <w:r>
        <w:rPr>
          <w:rFonts w:hint="eastAsia" w:ascii="Times New Roman" w:hAnsi="Times New Roman" w:eastAsia="仿宋_GB2312" w:cs="Times New Roman"/>
          <w:color w:val="auto"/>
          <w:spacing w:val="0"/>
          <w:sz w:val="32"/>
          <w:szCs w:val="32"/>
          <w:highlight w:val="none"/>
          <w:lang w:eastAsia="zh-CN" w:bidi="ar"/>
        </w:rPr>
        <w:t>万吨及以上）项目节能审查权限。有关审查的行业范围、审查条件、工作程序等，依据国家发展改革委政策执行。</w:t>
      </w:r>
    </w:p>
    <w:p w14:paraId="50DBDB3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8"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2"/>
          <w:sz w:val="32"/>
          <w:szCs w:val="32"/>
          <w:highlight w:val="none"/>
        </w:rPr>
        <w:t>第十条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省级节能审查机关实施节能审查的固定资产投资项目，应同步开展碳排放评价。市（州）节能审查机关实施节能审查的固定资产投资项目，结合煤炭消费量</w:t>
      </w:r>
      <w:bookmarkStart w:id="0" w:name="_GoBack"/>
      <w:bookmarkEnd w:id="0"/>
      <w:r>
        <w:rPr>
          <w:rFonts w:hint="eastAsia" w:ascii="Times New Roman" w:hAnsi="Times New Roman" w:eastAsia="仿宋_GB2312" w:cs="Times New Roman"/>
          <w:color w:val="auto"/>
          <w:spacing w:val="0"/>
          <w:sz w:val="32"/>
          <w:szCs w:val="32"/>
          <w:highlight w:val="none"/>
          <w:lang w:eastAsia="zh-CN" w:bidi="ar"/>
        </w:rPr>
        <w:t>或碳排放量对本地区的影响自行确定是否开展碳排放评价。</w:t>
      </w:r>
    </w:p>
    <w:p w14:paraId="2917192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对节能降碳指标严重滞后的市（州），省发展改革委商其他省级节能审查机关视情暂停受理其节能审查和碳排放评价申请，暂停时段结合实际确定。</w:t>
      </w:r>
    </w:p>
    <w:p w14:paraId="499FEC4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snapToGrid w:val="0"/>
          <w:color w:val="auto"/>
          <w:spacing w:val="-1"/>
          <w:kern w:val="0"/>
          <w:sz w:val="32"/>
          <w:szCs w:val="32"/>
          <w:highlight w:val="none"/>
          <w:lang w:val="en-US" w:eastAsia="zh-CN" w:bidi="ar"/>
        </w:rPr>
        <w:t>第十一条</w:t>
      </w:r>
      <w:r>
        <w:rPr>
          <w:rFonts w:hint="default" w:ascii="Times New Roman" w:hAnsi="Times New Roman" w:eastAsia="仿宋_GB2312" w:cs="Times New Roman"/>
          <w:snapToGrid w:val="0"/>
          <w:color w:val="auto"/>
          <w:spacing w:val="17"/>
          <w:kern w:val="0"/>
          <w:sz w:val="32"/>
          <w:szCs w:val="32"/>
          <w:highlight w:val="none"/>
          <w:lang w:val="en-US" w:eastAsia="zh-CN" w:bidi="ar"/>
        </w:rPr>
        <w:t xml:space="preserve"> </w:t>
      </w:r>
      <w:r>
        <w:rPr>
          <w:rFonts w:hint="eastAsia" w:ascii="Times New Roman" w:hAnsi="Times New Roman" w:eastAsia="仿宋_GB2312" w:cs="Times New Roman"/>
          <w:snapToGrid w:val="0"/>
          <w:color w:val="auto"/>
          <w:spacing w:val="0"/>
          <w:kern w:val="0"/>
          <w:sz w:val="32"/>
          <w:szCs w:val="32"/>
          <w:highlight w:val="none"/>
          <w:lang w:val="en-US" w:eastAsia="zh-CN" w:bidi="ar"/>
        </w:rPr>
        <w:t>各市（州）可结合本地实际，在各类开发区、新区和其他有条件的区域实施区域节能审查，明确区域节能降碳目标、节能降碳措施、能效和碳排放准入、化石能源消费控制等要求。对已经实施区域节能审查范围内的项目，除应由国家发展改革委和省级节能审查机关审查的，节能审查实行告知承诺制。区域节能审查具体实施办法由各市（州）发展改革部门依据实际情况制定，并报省发展改革委审定。</w:t>
      </w:r>
    </w:p>
    <w:p w14:paraId="3D797E34">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第三章  审查程序</w:t>
      </w:r>
    </w:p>
    <w:p w14:paraId="31C16834">
      <w:pPr>
        <w:pStyle w:val="2"/>
        <w:keepNext w:val="0"/>
        <w:keepLines w:val="0"/>
        <w:pageBreakBefore w:val="0"/>
        <w:widowControl w:val="0"/>
        <w:kinsoku/>
        <w:wordWrap/>
        <w:overflowPunct/>
        <w:topLinePunct w:val="0"/>
        <w:autoSpaceDE/>
        <w:autoSpaceDN/>
        <w:bidi w:val="0"/>
        <w:adjustRightInd/>
        <w:snapToGrid/>
        <w:spacing w:line="600" w:lineRule="exact"/>
        <w:ind w:left="0" w:firstLine="636"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条</w:t>
      </w:r>
      <w:r>
        <w:rPr>
          <w:rFonts w:hint="eastAsia" w:ascii="Times New Roman" w:hAnsi="Times New Roman" w:eastAsia="仿宋_GB2312" w:cs="Times New Roman"/>
          <w:color w:val="auto"/>
          <w:spacing w:val="0"/>
          <w:sz w:val="32"/>
          <w:szCs w:val="32"/>
          <w:highlight w:val="none"/>
          <w:lang w:eastAsia="zh-CN" w:bidi="ar"/>
        </w:rPr>
        <w:t xml:space="preserve"> 需进行节能审查的固定资产投资项目，建设单位应编制节能报告，不具备报告编制能力的建设单位应委托具备相应技术能力的机构编制节能报告。项目节能报告应包括下列内容：</w:t>
      </w:r>
    </w:p>
    <w:p w14:paraId="0F247B0C">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项目概况；</w:t>
      </w:r>
    </w:p>
    <w:p w14:paraId="0948F56E">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分析评价依据；</w:t>
      </w:r>
    </w:p>
    <w:p w14:paraId="01FCAF55">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项目建设及运营方案节能降碳分析和比选，包括总平面布置、生产工艺、用能工艺、用能设备和能源计量器具等方面；</w:t>
      </w:r>
    </w:p>
    <w:p w14:paraId="520F31C4">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能源消费情况，包括年综合能源消费量、化石能源消费量、煤炭消费量、可再生能源消费量和供给保障情况、原料用能消费量、能源消费结构；单位产品综合能耗、单位产品化石能源消耗、单位增加值（产值）能耗、单位增加值（产值）化石能源消耗，以及有关数据与国家、行业、地方标准及国际、国内行业先进水平的全面比较；</w:t>
      </w:r>
    </w:p>
    <w:p w14:paraId="7EA416D4">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项目碳排放情况，包括单位产品碳排放、单位增加值（产值）碳排放、碳排放总量、碳排放结构（能源活动、工业生产过程排放等）；单位产品碳排放、单位增加值（产值）碳排放等数据与国家、行业和地方标准及国际、国内行业先进水平的全面比较；</w:t>
      </w:r>
    </w:p>
    <w:p w14:paraId="1D9D8015">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bidi="ar"/>
        </w:rPr>
        <w:t>（六）</w:t>
      </w:r>
      <w:r>
        <w:rPr>
          <w:rFonts w:hint="eastAsia" w:ascii="Times New Roman" w:hAnsi="Times New Roman" w:eastAsia="仿宋_GB2312" w:cs="Times New Roman"/>
          <w:color w:val="auto"/>
          <w:sz w:val="32"/>
          <w:szCs w:val="32"/>
          <w:highlight w:val="none"/>
          <w:lang w:eastAsia="zh-CN" w:bidi="ar"/>
        </w:rPr>
        <w:t>项目拟采取的节能降碳措施，包括可再生能源替代、</w:t>
      </w:r>
      <w:r>
        <w:rPr>
          <w:rFonts w:hint="eastAsia" w:ascii="Times New Roman" w:hAnsi="Times New Roman" w:eastAsia="仿宋_GB2312" w:cs="Times New Roman"/>
          <w:color w:val="auto"/>
          <w:spacing w:val="0"/>
          <w:sz w:val="32"/>
          <w:szCs w:val="32"/>
          <w:highlight w:val="none"/>
          <w:lang w:eastAsia="zh-CN" w:bidi="ar"/>
        </w:rPr>
        <w:t>煤炭消费控制和压减、节能低碳技术装备应用等措施及其技术、经济论证；</w:t>
      </w:r>
    </w:p>
    <w:p w14:paraId="7BCD7A3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（七）</w:t>
      </w:r>
      <w:r>
        <w:rPr>
          <w:rFonts w:hint="eastAsia" w:ascii="Times New Roman" w:hAnsi="Times New Roman" w:eastAsia="仿宋_GB2312" w:cs="Times New Roman"/>
          <w:color w:val="auto"/>
          <w:spacing w:val="0"/>
          <w:sz w:val="32"/>
          <w:szCs w:val="32"/>
          <w:highlight w:val="none"/>
          <w:lang w:eastAsia="zh-CN" w:bidi="ar"/>
        </w:rPr>
        <w:t>项目实施对所在地完成节能降碳目标任务的影响分析。</w:t>
      </w:r>
    </w:p>
    <w:p w14:paraId="767B3ABA">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负责节能报告编制的单位应严格按照节能降碳有关法律法规、政策文件和标准规范等要求据实编制节能报告，确保节能报告的专业性、真实性和操作性。项目建设单位应出具书面承诺，对节能报告的真实性、合法性和完整性负责，不得以拆分或合并项目等不正当手段逃避节能审查。省发展改革委可结合实际采取节能报告质量审查等措施，加强对全省节能报告编制单位的管理。</w:t>
      </w:r>
    </w:p>
    <w:p w14:paraId="59331697">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eastAsia="zh-CN"/>
        </w:rPr>
        <w:t>三</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59"/>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国家发展改革委负责实施节能审查的固定资产投资项目，由</w:t>
      </w:r>
      <w:r>
        <w:rPr>
          <w:rFonts w:hint="eastAsia" w:ascii="Times New Roman" w:hAnsi="Times New Roman" w:eastAsia="仿宋_GB2312" w:cs="Times New Roman"/>
          <w:color w:val="auto"/>
          <w:sz w:val="32"/>
          <w:szCs w:val="32"/>
          <w:highlight w:val="none"/>
          <w:lang w:eastAsia="zh-CN" w:bidi="ar"/>
        </w:rPr>
        <w:t>省发展改革委会同相关节能审查机关</w:t>
      </w:r>
      <w:r>
        <w:rPr>
          <w:rFonts w:hint="eastAsia" w:ascii="Times New Roman" w:hAnsi="Times New Roman" w:eastAsia="仿宋_GB2312" w:cs="Times New Roman"/>
          <w:color w:val="auto"/>
          <w:spacing w:val="0"/>
          <w:sz w:val="32"/>
          <w:szCs w:val="32"/>
          <w:highlight w:val="none"/>
          <w:lang w:eastAsia="zh-CN" w:bidi="ar"/>
        </w:rPr>
        <w:t>按要求报送</w:t>
      </w:r>
      <w:r>
        <w:rPr>
          <w:rFonts w:hint="eastAsia" w:ascii="Times New Roman" w:hAnsi="Times New Roman" w:eastAsia="仿宋_GB2312" w:cs="Times New Roman"/>
          <w:color w:val="auto"/>
          <w:spacing w:val="0"/>
          <w:sz w:val="32"/>
          <w:szCs w:val="32"/>
          <w:highlight w:val="none"/>
          <w:lang w:val="en-US" w:eastAsia="zh-CN" w:bidi="ar"/>
        </w:rPr>
        <w:t>。</w:t>
      </w:r>
      <w:r>
        <w:rPr>
          <w:rFonts w:hint="eastAsia" w:ascii="Times New Roman" w:hAnsi="Times New Roman" w:eastAsia="仿宋_GB2312" w:cs="Times New Roman"/>
          <w:color w:val="auto"/>
          <w:spacing w:val="0"/>
          <w:sz w:val="32"/>
          <w:szCs w:val="32"/>
          <w:highlight w:val="none"/>
          <w:lang w:eastAsia="zh-CN" w:bidi="ar"/>
        </w:rPr>
        <w:t>省级节能审查机关应靠前服务，加强对建设单位节能报告编制的指导，并开展项目实施影响分析，各市（州）在报送节能审查申报材料时一并提交项目情况说明。项目情况说明应包括下列内容：</w:t>
      </w:r>
    </w:p>
    <w:p w14:paraId="558BF15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市（州）有关部门对项目的联合评估论证情况，包括产业管理、节能降碳、生态环保、资源利用等政策符合性，能效、碳排放、污染物排放、工艺设备等技术水平先进性，以及评估论证结果等；</w:t>
      </w:r>
    </w:p>
    <w:p w14:paraId="32943D02">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项目实施能源消费替代、煤炭消费控制和压减等情况及产能置换情况（如需），以及有权限的部门出具的核实意见；</w:t>
      </w:r>
    </w:p>
    <w:p w14:paraId="5B258BB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bidi="ar"/>
        </w:rPr>
        <w:t>（三）</w:t>
      </w:r>
      <w:r>
        <w:rPr>
          <w:rFonts w:hint="eastAsia" w:ascii="Times New Roman" w:hAnsi="Times New Roman" w:eastAsia="仿宋_GB2312" w:cs="Times New Roman"/>
          <w:color w:val="auto"/>
          <w:sz w:val="32"/>
          <w:szCs w:val="32"/>
          <w:highlight w:val="none"/>
          <w:lang w:eastAsia="zh-CN" w:bidi="ar"/>
        </w:rPr>
        <w:t>项目所属细分产业发展总体情况、既</w:t>
      </w:r>
      <w:r>
        <w:rPr>
          <w:rFonts w:hint="eastAsia" w:ascii="Times New Roman" w:hAnsi="Times New Roman" w:eastAsia="仿宋_GB2312" w:cs="Times New Roman"/>
          <w:color w:val="auto"/>
          <w:spacing w:val="0"/>
          <w:sz w:val="32"/>
          <w:szCs w:val="32"/>
          <w:highlight w:val="none"/>
          <w:lang w:eastAsia="zh-CN" w:bidi="ar"/>
        </w:rPr>
        <w:t>有产能规模和市场需求情况、同类存量企业生产经营情况；</w:t>
      </w:r>
    </w:p>
    <w:p w14:paraId="193ABE2F">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项目建成后对省、市（州）节能降碳工作特别是相关指标的影响分析；如有不利影响，应提出拟采取的有效措施；</w:t>
      </w:r>
    </w:p>
    <w:p w14:paraId="7A8E982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是否支持项目建设的明确意见；</w:t>
      </w:r>
    </w:p>
    <w:p w14:paraId="4FCFD3E8">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（六）其他需要说明的情况。</w:t>
      </w:r>
    </w:p>
    <w:p w14:paraId="7515DAC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四</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节能审查申报材料要素齐全、节能报告内容深度达到审查要求、符合法定形式的，节能审查机关应当予以受理。相关材料不符合要求的，节能审查机关应当当场或者</w:t>
      </w:r>
      <w:r>
        <w:rPr>
          <w:rFonts w:hint="eastAsia" w:ascii="Times New Roman" w:hAnsi="Times New Roman" w:eastAsia="仿宋_GB2312" w:cs="Times New Roman"/>
          <w:color w:val="auto"/>
          <w:spacing w:val="0"/>
          <w:position w:val="0"/>
          <w:sz w:val="32"/>
          <w:szCs w:val="32"/>
          <w:highlight w:val="none"/>
          <w:lang w:eastAsia="zh-CN" w:bidi="ar"/>
        </w:rPr>
        <w:t>5</w:t>
      </w:r>
      <w:r>
        <w:rPr>
          <w:rFonts w:hint="eastAsia" w:ascii="Times New Roman" w:hAnsi="Times New Roman" w:eastAsia="仿宋_GB2312" w:cs="Times New Roman"/>
          <w:color w:val="auto"/>
          <w:spacing w:val="0"/>
          <w:sz w:val="32"/>
          <w:szCs w:val="32"/>
          <w:highlight w:val="none"/>
          <w:lang w:eastAsia="zh-CN" w:bidi="ar"/>
        </w:rPr>
        <w:t>个工作日内一次告知建设单位需要补正的全部内容，逾期不告知的，自收到报告之日起即为受理。</w:t>
      </w:r>
    </w:p>
    <w:p w14:paraId="4D32EC8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五</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节能审查机关受理节能审查申报材料后，需征求有关单位意见的，同步开展征求意见工作，对符合有关规定的，应委托具备技术能力的机构进行评审。</w:t>
      </w:r>
    </w:p>
    <w:p w14:paraId="3C83121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节能评审机构应按照节能法律法规和政策要求，在节能审查机关规定的时间内开展评审工作，出具评审意见。评审意见作为节能审查的重要依据，评审机构及评审人员应对评审结论的真实性、科学性、合理性承担责任。</w:t>
      </w:r>
    </w:p>
    <w:p w14:paraId="624E2F4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六</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节能审查机关应当从下列方面对项目进行审查：</w:t>
      </w:r>
    </w:p>
    <w:p w14:paraId="7CF85F6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项目是否符合节能降碳等有关法律法规、标准规范、政策制度和工作管理要求；</w:t>
      </w:r>
    </w:p>
    <w:p w14:paraId="7E5E7E1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项目主要产品能效是否符合强制性能源消耗限额标准要求，主要设备能效是否符合强制性能效标准要求；</w:t>
      </w:r>
    </w:p>
    <w:p w14:paraId="6AEB9FD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项目节能降碳措施是否有力有效、合理可行，能源管理体系是否完备；</w:t>
      </w:r>
    </w:p>
    <w:p w14:paraId="3DA5EB6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项目能源消费和碳排放数据核算及分析论证是否客观精准、方法是否科学、结论是否准确；</w:t>
      </w:r>
    </w:p>
    <w:p w14:paraId="454314D4">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项目是否影响全省及所在地区碳排放形势、是否影响所在地区碳排放强度降低目标完成、单位产品和产值碳排放是否符合国家与行业标准、是否应用先进适用技术挖掘降碳潜力等。</w:t>
      </w:r>
    </w:p>
    <w:p w14:paraId="0A9333A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七</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节能审查机关应在</w:t>
      </w:r>
      <w:r>
        <w:rPr>
          <w:rFonts w:hint="eastAsia" w:ascii="Times New Roman" w:hAnsi="Times New Roman" w:eastAsia="仿宋_GB2312" w:cs="Times New Roman"/>
          <w:color w:val="auto"/>
          <w:spacing w:val="0"/>
          <w:sz w:val="32"/>
          <w:szCs w:val="32"/>
          <w:highlight w:val="none"/>
          <w:lang w:val="en-US" w:eastAsia="zh-CN" w:bidi="ar"/>
        </w:rPr>
        <w:t>规定时间内对评审意见、节能审查材料进行复核或</w:t>
      </w:r>
      <w:r>
        <w:rPr>
          <w:rFonts w:hint="eastAsia" w:ascii="Times New Roman" w:hAnsi="Times New Roman" w:eastAsia="仿宋_GB2312" w:cs="Times New Roman"/>
          <w:color w:val="auto"/>
          <w:spacing w:val="0"/>
          <w:sz w:val="32"/>
          <w:szCs w:val="32"/>
          <w:highlight w:val="none"/>
          <w:lang w:eastAsia="zh-CN" w:bidi="ar"/>
        </w:rPr>
        <w:t>按照要求报请国家发展改革委进行复核，</w:t>
      </w:r>
      <w:r>
        <w:rPr>
          <w:rFonts w:hint="eastAsia" w:ascii="Times New Roman" w:hAnsi="Times New Roman" w:eastAsia="仿宋_GB2312" w:cs="Times New Roman"/>
          <w:color w:val="auto"/>
          <w:spacing w:val="0"/>
          <w:sz w:val="32"/>
          <w:szCs w:val="32"/>
          <w:highlight w:val="none"/>
          <w:lang w:val="en-US" w:eastAsia="zh-CN" w:bidi="ar"/>
        </w:rPr>
        <w:t>并</w:t>
      </w:r>
      <w:r>
        <w:rPr>
          <w:rFonts w:hint="eastAsia" w:ascii="Times New Roman" w:hAnsi="Times New Roman" w:eastAsia="仿宋_GB2312" w:cs="Times New Roman"/>
          <w:color w:val="auto"/>
          <w:spacing w:val="0"/>
          <w:sz w:val="32"/>
          <w:szCs w:val="32"/>
          <w:highlight w:val="none"/>
          <w:lang w:eastAsia="zh-CN" w:bidi="ar"/>
        </w:rPr>
        <w:t>出具节能审查意见或明确节能审查不予通过。</w:t>
      </w:r>
    </w:p>
    <w:p w14:paraId="78C87628">
      <w:pPr>
        <w:pStyle w:val="2"/>
        <w:keepNext w:val="0"/>
        <w:keepLines w:val="0"/>
        <w:pageBreakBefore w:val="0"/>
        <w:widowControl w:val="0"/>
        <w:kinsoku/>
        <w:wordWrap/>
        <w:overflowPunct/>
        <w:topLinePunct w:val="0"/>
        <w:autoSpaceDE/>
        <w:autoSpaceDN/>
        <w:bidi w:val="0"/>
        <w:adjustRightInd w:val="0"/>
        <w:snapToGrid w:val="0"/>
        <w:spacing w:line="600" w:lineRule="exact"/>
        <w:ind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八</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项目建设单位应严格按照节能审查意见开</w:t>
      </w:r>
      <w:r>
        <w:rPr>
          <w:rFonts w:hint="eastAsia" w:ascii="Times New Roman" w:hAnsi="Times New Roman" w:eastAsia="仿宋_GB2312" w:cs="Times New Roman"/>
          <w:color w:val="auto"/>
          <w:sz w:val="32"/>
          <w:szCs w:val="32"/>
          <w:highlight w:val="none"/>
          <w:lang w:eastAsia="zh-CN" w:bidi="ar"/>
        </w:rPr>
        <w:t>展项目建</w:t>
      </w:r>
      <w:r>
        <w:rPr>
          <w:rFonts w:hint="eastAsia" w:ascii="Times New Roman" w:hAnsi="Times New Roman" w:eastAsia="仿宋_GB2312" w:cs="Times New Roman"/>
          <w:color w:val="auto"/>
          <w:spacing w:val="0"/>
          <w:sz w:val="32"/>
          <w:szCs w:val="32"/>
          <w:highlight w:val="none"/>
          <w:lang w:eastAsia="zh-CN" w:bidi="ar"/>
        </w:rPr>
        <w:t>设。通过节能审查的项目，在开工建设前或建设过程中发生重大变动的，建设单位应向原节能审查机关提交变更申请。项目节能审查权限发生变化的，建设单位应向有权审查机关提交变更申请。节能审查机关依据实际情况，作出同意变更的决定或重新进行节能审查。项目重大变动的情形包括下列方面：</w:t>
      </w:r>
    </w:p>
    <w:p w14:paraId="6CE18987">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建设单位、建设地点、建设规模发生变化；</w:t>
      </w:r>
    </w:p>
    <w:p w14:paraId="5BB552A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主要生产装置、用能设备、工艺技术路线等发生变化；</w:t>
      </w:r>
    </w:p>
    <w:p w14:paraId="3244AF20">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主要产品品种发生变化；</w:t>
      </w:r>
    </w:p>
    <w:p w14:paraId="57C47FC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项目其他方面较节能报告、节能审查意见等发生重大变化。</w:t>
      </w:r>
    </w:p>
    <w:p w14:paraId="6550EE0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3"/>
          <w:sz w:val="32"/>
          <w:szCs w:val="32"/>
          <w:highlight w:val="none"/>
        </w:rPr>
        <w:t>第十</w:t>
      </w:r>
      <w:r>
        <w:rPr>
          <w:rFonts w:hint="default" w:ascii="Times New Roman" w:hAnsi="Times New Roman" w:eastAsia="黑体" w:cs="Times New Roman"/>
          <w:color w:val="auto"/>
          <w:spacing w:val="-3"/>
          <w:sz w:val="32"/>
          <w:szCs w:val="32"/>
          <w:highlight w:val="none"/>
          <w:lang w:eastAsia="zh-CN"/>
        </w:rPr>
        <w:t>九</w:t>
      </w:r>
      <w:r>
        <w:rPr>
          <w:rFonts w:hint="default" w:ascii="Times New Roman" w:hAnsi="Times New Roman" w:eastAsia="黑体" w:cs="Times New Roman"/>
          <w:color w:val="auto"/>
          <w:spacing w:val="-3"/>
          <w:sz w:val="32"/>
          <w:szCs w:val="32"/>
          <w:highlight w:val="none"/>
        </w:rPr>
        <w:t>条</w:t>
      </w:r>
      <w:r>
        <w:rPr>
          <w:rFonts w:hint="default" w:ascii="Times New Roman" w:hAnsi="Times New Roman" w:eastAsia="仿宋_GB2312" w:cs="Times New Roman"/>
          <w:color w:val="auto"/>
          <w:spacing w:val="-3"/>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项目自节能审查机关出具节能审查意见或同意变更决定之日起</w:t>
      </w:r>
      <w:r>
        <w:rPr>
          <w:rFonts w:hint="eastAsia" w:ascii="Times New Roman" w:hAnsi="Times New Roman" w:eastAsia="仿宋_GB2312" w:cs="Times New Roman"/>
          <w:color w:val="auto"/>
          <w:spacing w:val="0"/>
          <w:position w:val="0"/>
          <w:sz w:val="32"/>
          <w:szCs w:val="32"/>
          <w:highlight w:val="none"/>
          <w:lang w:eastAsia="zh-CN" w:bidi="ar"/>
        </w:rPr>
        <w:t>2</w:t>
      </w:r>
      <w:r>
        <w:rPr>
          <w:rFonts w:hint="eastAsia" w:ascii="Times New Roman" w:hAnsi="Times New Roman" w:eastAsia="仿宋_GB2312" w:cs="Times New Roman"/>
          <w:color w:val="auto"/>
          <w:spacing w:val="0"/>
          <w:sz w:val="32"/>
          <w:szCs w:val="32"/>
          <w:highlight w:val="none"/>
          <w:lang w:eastAsia="zh-CN" w:bidi="ar"/>
        </w:rPr>
        <w:t>年内未开工建设，节能审查意见或同意变更决定自动失效。</w:t>
      </w:r>
    </w:p>
    <w:p w14:paraId="7F9E568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第四章  监督管理</w:t>
      </w:r>
    </w:p>
    <w:p w14:paraId="2969349B">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十条</w:t>
      </w:r>
      <w:r>
        <w:rPr>
          <w:rFonts w:hint="default" w:ascii="Times New Roman" w:hAnsi="Times New Roman" w:eastAsia="仿宋_GB2312" w:cs="Times New Roman"/>
          <w:color w:val="auto"/>
          <w:spacing w:val="8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节能审查应纳入投资项目在线审批监管平台统一管理（涉及国家秘密的项目除外），实行网上受理、办理、监管和服务，实现审查过程和结果的可查询、可监督。不单独进行节能审查的固定资产投资项目应通过投资项目在线审批监管平台报送项目能源消费等情况。</w:t>
      </w:r>
    </w:p>
    <w:p w14:paraId="705907ED">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1"/>
          <w:sz w:val="32"/>
          <w:szCs w:val="32"/>
          <w:highlight w:val="none"/>
        </w:rPr>
        <w:t>第二十</w:t>
      </w:r>
      <w:r>
        <w:rPr>
          <w:rFonts w:hint="default" w:ascii="Times New Roman" w:hAnsi="Times New Roman" w:eastAsia="黑体" w:cs="Times New Roman"/>
          <w:color w:val="auto"/>
          <w:spacing w:val="1"/>
          <w:sz w:val="32"/>
          <w:szCs w:val="32"/>
          <w:highlight w:val="none"/>
          <w:lang w:eastAsia="zh-CN"/>
        </w:rPr>
        <w:t>一</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8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固定资产投资项目投入生产、使用前（按规定需要试运行的，原则上应在试运行之日起</w:t>
      </w:r>
      <w:r>
        <w:rPr>
          <w:rFonts w:hint="eastAsia" w:ascii="Times New Roman" w:hAnsi="Times New Roman" w:eastAsia="仿宋_GB2312" w:cs="Times New Roman"/>
          <w:color w:val="auto"/>
          <w:spacing w:val="0"/>
          <w:position w:val="0"/>
          <w:sz w:val="32"/>
          <w:szCs w:val="32"/>
          <w:highlight w:val="none"/>
          <w:lang w:eastAsia="zh-CN" w:bidi="ar"/>
        </w:rPr>
        <w:t>6</w:t>
      </w:r>
      <w:r>
        <w:rPr>
          <w:rFonts w:hint="eastAsia" w:ascii="Times New Roman" w:hAnsi="Times New Roman" w:eastAsia="仿宋_GB2312" w:cs="Times New Roman"/>
          <w:color w:val="auto"/>
          <w:spacing w:val="0"/>
          <w:sz w:val="32"/>
          <w:szCs w:val="32"/>
          <w:highlight w:val="none"/>
          <w:lang w:eastAsia="zh-CN" w:bidi="ar"/>
        </w:rPr>
        <w:t>个月内），建设单位应</w:t>
      </w:r>
      <w:r>
        <w:rPr>
          <w:rFonts w:hint="eastAsia" w:ascii="Times New Roman" w:hAnsi="Times New Roman" w:eastAsia="仿宋_GB2312" w:cs="Times New Roman"/>
          <w:color w:val="auto"/>
          <w:spacing w:val="0"/>
          <w:sz w:val="32"/>
          <w:szCs w:val="32"/>
          <w:highlight w:val="none"/>
          <w:lang w:val="en-US" w:eastAsia="zh-CN" w:bidi="ar"/>
        </w:rPr>
        <w:t>据实编制节能审查验收自查报告，对报告内容的真实性</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准确性和完整性负责，并将自查报告报送原节能审查机关申请验收；原节能审查机关</w:t>
      </w:r>
      <w:r>
        <w:rPr>
          <w:rFonts w:hint="eastAsia" w:ascii="Times New Roman" w:hAnsi="Times New Roman" w:eastAsia="仿宋_GB2312" w:cs="Times New Roman"/>
          <w:color w:val="auto"/>
          <w:spacing w:val="0"/>
          <w:sz w:val="32"/>
          <w:szCs w:val="32"/>
          <w:highlight w:val="none"/>
          <w:lang w:eastAsia="zh-CN" w:bidi="ar"/>
        </w:rPr>
        <w:t>组织或委托第三方机构对项目节能审查意见和节能报告中的生产工艺、用能设备、节能降碳技术、能源计量器具等落实情况进行验收，</w:t>
      </w:r>
      <w:r>
        <w:rPr>
          <w:rFonts w:hint="eastAsia" w:ascii="Times New Roman" w:hAnsi="Times New Roman" w:eastAsia="仿宋_GB2312" w:cs="Times New Roman"/>
          <w:color w:val="auto"/>
          <w:spacing w:val="0"/>
          <w:sz w:val="32"/>
          <w:szCs w:val="32"/>
          <w:highlight w:val="none"/>
          <w:lang w:val="en-US" w:eastAsia="zh-CN" w:bidi="ar"/>
        </w:rPr>
        <w:t>并出具验收意见。</w:t>
      </w:r>
      <w:r>
        <w:rPr>
          <w:rFonts w:hint="eastAsia" w:ascii="Times New Roman" w:hAnsi="Times New Roman" w:eastAsia="仿宋_GB2312" w:cs="Times New Roman"/>
          <w:color w:val="auto"/>
          <w:spacing w:val="0"/>
          <w:sz w:val="32"/>
          <w:szCs w:val="32"/>
          <w:highlight w:val="none"/>
          <w:lang w:eastAsia="zh-CN" w:bidi="ar"/>
        </w:rPr>
        <w:t>分期建设、投入生产使用的项目，应分期进行验收。实行区域节能审查的项目，</w:t>
      </w:r>
      <w:r>
        <w:rPr>
          <w:rFonts w:hint="eastAsia" w:ascii="Times New Roman" w:hAnsi="Times New Roman" w:eastAsia="仿宋_GB2312" w:cs="Times New Roman"/>
          <w:color w:val="auto"/>
          <w:spacing w:val="0"/>
          <w:sz w:val="32"/>
          <w:szCs w:val="32"/>
          <w:highlight w:val="none"/>
          <w:lang w:val="en-US" w:eastAsia="zh-CN" w:bidi="ar"/>
        </w:rPr>
        <w:t>由市（州）节能审查机关明确验收主体</w:t>
      </w:r>
      <w:r>
        <w:rPr>
          <w:rFonts w:hint="eastAsia" w:ascii="Times New Roman" w:hAnsi="Times New Roman" w:eastAsia="仿宋_GB2312" w:cs="Times New Roman"/>
          <w:color w:val="auto"/>
          <w:spacing w:val="0"/>
          <w:sz w:val="32"/>
          <w:szCs w:val="32"/>
          <w:highlight w:val="none"/>
          <w:lang w:eastAsia="zh-CN" w:bidi="ar"/>
        </w:rPr>
        <w:t>对承诺内容进行验收。国家发展改革委负责实施节能审查的固定资产投资项目，由省级节能审查机关</w:t>
      </w:r>
      <w:r>
        <w:rPr>
          <w:rFonts w:hint="eastAsia" w:ascii="Times New Roman" w:hAnsi="Times New Roman" w:eastAsia="仿宋_GB2312" w:cs="Times New Roman"/>
          <w:color w:val="auto"/>
          <w:spacing w:val="0"/>
          <w:sz w:val="32"/>
          <w:szCs w:val="32"/>
          <w:highlight w:val="none"/>
          <w:lang w:val="en-US" w:eastAsia="zh-CN" w:bidi="ar"/>
        </w:rPr>
        <w:t>组织</w:t>
      </w:r>
      <w:r>
        <w:rPr>
          <w:rFonts w:hint="eastAsia" w:ascii="Times New Roman" w:hAnsi="Times New Roman" w:eastAsia="仿宋_GB2312" w:cs="Times New Roman"/>
          <w:color w:val="auto"/>
          <w:spacing w:val="0"/>
          <w:sz w:val="32"/>
          <w:szCs w:val="32"/>
          <w:highlight w:val="none"/>
          <w:lang w:eastAsia="zh-CN" w:bidi="ar"/>
        </w:rPr>
        <w:t>验收。</w:t>
      </w:r>
    </w:p>
    <w:p w14:paraId="00759326">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snapToGrid w:val="0"/>
          <w:color w:val="auto"/>
          <w:spacing w:val="0"/>
          <w:kern w:val="0"/>
          <w:sz w:val="32"/>
          <w:szCs w:val="32"/>
          <w:highlight w:val="none"/>
          <w:lang w:val="en-US" w:eastAsia="zh-CN" w:bidi="ar"/>
        </w:rPr>
      </w:pPr>
      <w:r>
        <w:rPr>
          <w:rFonts w:hint="eastAsia" w:ascii="Times New Roman" w:hAnsi="Times New Roman" w:eastAsia="仿宋_GB2312" w:cs="Times New Roman"/>
          <w:snapToGrid w:val="0"/>
          <w:color w:val="auto"/>
          <w:spacing w:val="0"/>
          <w:kern w:val="0"/>
          <w:sz w:val="32"/>
          <w:szCs w:val="32"/>
          <w:highlight w:val="none"/>
          <w:lang w:val="en-US" w:eastAsia="zh-CN" w:bidi="ar"/>
        </w:rPr>
        <w:t>不单独进行节能审查的固定资产投资项目，建设单位应当在项目投入生产、使用后一年内对承诺情况进行验收，如项目实际能源消费量属于应进行节能审查类别，参照本办法第二十六条有关规定执行。</w:t>
      </w:r>
    </w:p>
    <w:p w14:paraId="53A311B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节能验收具体实施办法由省发展改革委</w:t>
      </w:r>
      <w:r>
        <w:rPr>
          <w:rFonts w:hint="eastAsia" w:ascii="Times New Roman" w:hAnsi="Times New Roman" w:eastAsia="仿宋_GB2312" w:cs="Times New Roman"/>
          <w:color w:val="auto"/>
          <w:spacing w:val="0"/>
          <w:sz w:val="32"/>
          <w:szCs w:val="32"/>
          <w:highlight w:val="none"/>
          <w:lang w:val="en-US" w:eastAsia="zh-CN" w:bidi="ar"/>
        </w:rPr>
        <w:t>会同有关部门</w:t>
      </w:r>
      <w:r>
        <w:rPr>
          <w:rFonts w:hint="eastAsia" w:ascii="Times New Roman" w:hAnsi="Times New Roman" w:eastAsia="仿宋_GB2312" w:cs="Times New Roman"/>
          <w:color w:val="auto"/>
          <w:spacing w:val="0"/>
          <w:sz w:val="32"/>
          <w:szCs w:val="32"/>
          <w:highlight w:val="none"/>
          <w:lang w:eastAsia="zh-CN" w:bidi="ar"/>
        </w:rPr>
        <w:t>另行制定。</w:t>
      </w:r>
    </w:p>
    <w:p w14:paraId="3BBA32BC">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32"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二</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8"/>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节能审查日常监督管理和违法违规行为处理由市（州）及以上发展改革部门按照节能审查权限牵头商同级节能审查机关负责，县级发展改革、工业和信息化、能源部门要落实属地责任，配合做好监管工作。各级节能审查机关要将节能审查实施情况作为节能监察的重点内容，按照“双随机一公开”原则组织对项目节能审查验收、节能审查意见落实等情况进行监督检查。</w:t>
      </w:r>
    </w:p>
    <w:p w14:paraId="4B6C1F0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省发展改革委</w:t>
      </w:r>
      <w:r>
        <w:rPr>
          <w:rFonts w:hint="eastAsia" w:ascii="Times New Roman" w:hAnsi="Times New Roman" w:eastAsia="仿宋_GB2312" w:cs="Times New Roman"/>
          <w:color w:val="auto"/>
          <w:spacing w:val="0"/>
          <w:sz w:val="32"/>
          <w:szCs w:val="32"/>
          <w:highlight w:val="none"/>
          <w:lang w:val="en-US" w:eastAsia="zh-CN" w:bidi="ar"/>
        </w:rPr>
        <w:t>会同省工业和信息化厅</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省能源局</w:t>
      </w:r>
      <w:r>
        <w:rPr>
          <w:rFonts w:hint="eastAsia" w:ascii="Times New Roman" w:hAnsi="Times New Roman" w:eastAsia="仿宋_GB2312" w:cs="Times New Roman"/>
          <w:color w:val="auto"/>
          <w:spacing w:val="0"/>
          <w:sz w:val="32"/>
          <w:szCs w:val="32"/>
          <w:highlight w:val="none"/>
          <w:lang w:eastAsia="zh-CN" w:bidi="ar"/>
        </w:rPr>
        <w:t>实施全省节能审查动态监管，对各地节能审查实施情况进行监督检查，对重大项目节能审查意见落实、节能审查验收等情况进行不定期抽查。检查抽查结果作为节能降碳相关评价考核的重要内容。</w:t>
      </w:r>
    </w:p>
    <w:p w14:paraId="48D094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三</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各级发展改革部门应加强节能审查信息的统计分析，系统梳理本地区已批复节能审查项目情况，定期调度已投产项目能源消费、碳排放、能效水平等情况，作为研判节能降碳形势、开展节能降碳工作的重要参考。</w:t>
      </w:r>
    </w:p>
    <w:p w14:paraId="7ED3654F">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val="en-US" w:eastAsia="zh-CN" w:bidi="ar"/>
        </w:rPr>
        <w:t>省</w:t>
      </w:r>
      <w:r>
        <w:rPr>
          <w:rFonts w:hint="eastAsia" w:ascii="Times New Roman" w:hAnsi="Times New Roman" w:eastAsia="仿宋_GB2312" w:cs="Times New Roman"/>
          <w:color w:val="auto"/>
          <w:spacing w:val="0"/>
          <w:sz w:val="32"/>
          <w:szCs w:val="32"/>
          <w:highlight w:val="none"/>
          <w:lang w:eastAsia="zh-CN" w:bidi="ar"/>
        </w:rPr>
        <w:t>级节能审查机关应定期</w:t>
      </w:r>
      <w:r>
        <w:rPr>
          <w:rFonts w:hint="eastAsia" w:ascii="Times New Roman" w:hAnsi="Times New Roman" w:eastAsia="仿宋_GB2312" w:cs="Times New Roman"/>
          <w:color w:val="auto"/>
          <w:spacing w:val="0"/>
          <w:sz w:val="32"/>
          <w:szCs w:val="32"/>
          <w:highlight w:val="none"/>
          <w:lang w:val="en-US" w:eastAsia="zh-CN" w:bidi="ar"/>
        </w:rPr>
        <w:t>汇总</w:t>
      </w:r>
      <w:r>
        <w:rPr>
          <w:rFonts w:hint="eastAsia" w:ascii="Times New Roman" w:hAnsi="Times New Roman" w:eastAsia="仿宋_GB2312" w:cs="Times New Roman"/>
          <w:color w:val="auto"/>
          <w:spacing w:val="0"/>
          <w:sz w:val="32"/>
          <w:szCs w:val="32"/>
          <w:highlight w:val="none"/>
          <w:lang w:eastAsia="zh-CN" w:bidi="ar"/>
        </w:rPr>
        <w:t>本领域项目节能审查信息和已投产项目调度数据报送</w:t>
      </w:r>
      <w:r>
        <w:rPr>
          <w:rFonts w:hint="eastAsia" w:ascii="Times New Roman" w:hAnsi="Times New Roman" w:eastAsia="仿宋_GB2312" w:cs="Times New Roman"/>
          <w:color w:val="auto"/>
          <w:spacing w:val="0"/>
          <w:sz w:val="32"/>
          <w:szCs w:val="32"/>
          <w:highlight w:val="none"/>
          <w:lang w:val="en-US" w:eastAsia="zh-CN" w:bidi="ar"/>
        </w:rPr>
        <w:t>省</w:t>
      </w:r>
      <w:r>
        <w:rPr>
          <w:rFonts w:hint="eastAsia" w:ascii="Times New Roman" w:hAnsi="Times New Roman" w:eastAsia="仿宋_GB2312" w:cs="Times New Roman"/>
          <w:color w:val="auto"/>
          <w:spacing w:val="0"/>
          <w:sz w:val="32"/>
          <w:szCs w:val="32"/>
          <w:highlight w:val="none"/>
          <w:lang w:eastAsia="zh-CN" w:bidi="ar"/>
        </w:rPr>
        <w:t>发展改革</w:t>
      </w:r>
      <w:r>
        <w:rPr>
          <w:rFonts w:hint="eastAsia" w:ascii="Times New Roman" w:hAnsi="Times New Roman" w:eastAsia="仿宋_GB2312" w:cs="Times New Roman"/>
          <w:color w:val="auto"/>
          <w:spacing w:val="0"/>
          <w:sz w:val="32"/>
          <w:szCs w:val="32"/>
          <w:highlight w:val="none"/>
          <w:lang w:val="en-US" w:eastAsia="zh-CN" w:bidi="ar"/>
        </w:rPr>
        <w:t>委</w:t>
      </w:r>
      <w:r>
        <w:rPr>
          <w:rFonts w:hint="eastAsia" w:ascii="Times New Roman" w:hAnsi="Times New Roman" w:eastAsia="仿宋_GB2312" w:cs="Times New Roman"/>
          <w:color w:val="auto"/>
          <w:spacing w:val="0"/>
          <w:sz w:val="32"/>
          <w:szCs w:val="32"/>
          <w:highlight w:val="none"/>
          <w:lang w:eastAsia="zh-CN" w:bidi="ar"/>
        </w:rPr>
        <w:t>。</w:t>
      </w:r>
    </w:p>
    <w:p w14:paraId="79E6ABA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第五章  法律责任</w:t>
      </w:r>
    </w:p>
    <w:p w14:paraId="432F5F80">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四</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对未按本办法规定进行节能审查，或节能审查未获通过，擅自开工建设或擅自投入生产、使用的固定资产投资项目，由项目所在地发展改革部门商工业和信息化、能源部门责令停止建设或停止生产、使用，限期整改。对经认定完成整改的项目不再出具节能审查意见，由有权限的节能审查机关依据实际情况出具相关证明。不能整改、整改不到位或逾期不整改的生产性项目，按项目审批（核准、备案）权限由同级发展改革部门商工业和信息化、能源部门报请本级人民政府按照国务院规定的权限责令关闭，并依法追究有关责任人的责任。</w:t>
      </w:r>
    </w:p>
    <w:p w14:paraId="4C0FCEF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五</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75"/>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以拆分项目、提供虚假材料等不正当手段通过节</w:t>
      </w:r>
      <w:r>
        <w:rPr>
          <w:rFonts w:hint="eastAsia" w:ascii="Times New Roman" w:hAnsi="Times New Roman" w:eastAsia="仿宋_GB2312" w:cs="Times New Roman"/>
          <w:color w:val="auto"/>
          <w:sz w:val="32"/>
          <w:szCs w:val="32"/>
          <w:highlight w:val="none"/>
          <w:lang w:eastAsia="zh-CN" w:bidi="ar"/>
        </w:rPr>
        <w:t>能审查的固定资产投资项目，由节能审查机关撤销项目的节能审</w:t>
      </w:r>
      <w:r>
        <w:rPr>
          <w:rFonts w:hint="eastAsia" w:ascii="Times New Roman" w:hAnsi="Times New Roman" w:eastAsia="仿宋_GB2312" w:cs="Times New Roman"/>
          <w:color w:val="auto"/>
          <w:spacing w:val="0"/>
          <w:sz w:val="32"/>
          <w:szCs w:val="32"/>
          <w:highlight w:val="none"/>
          <w:lang w:eastAsia="zh-CN" w:bidi="ar"/>
        </w:rPr>
        <w:t>查意见。项目已开工建设或投入生产、使用的，按本办法第二十四条有关规定进行处罚。</w:t>
      </w:r>
    </w:p>
    <w:p w14:paraId="6906452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32"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六</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项目已投入生产、使用，发生本办法第十八条规定的重大变动，或存在单位产品综合能耗和碳排放、年实际综合能源消费量或碳排放总量高于节能审查批复水平10%等未落实节能审查意见要求的，由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发展改革、工业和信息化、能源部门按职责责令建设单位限期整改。不能整改、整改不到位或逾期不整改的，按项目审批（核准、备案）权限由同级发展改革部门按照法律法规的有关规定进行处罚。</w:t>
      </w:r>
    </w:p>
    <w:p w14:paraId="0FA5AF4E">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9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4"/>
          <w:sz w:val="32"/>
          <w:szCs w:val="32"/>
          <w:highlight w:val="none"/>
        </w:rPr>
        <w:t>第二十</w:t>
      </w:r>
      <w:r>
        <w:rPr>
          <w:rFonts w:hint="default" w:ascii="Times New Roman" w:hAnsi="Times New Roman" w:eastAsia="黑体" w:cs="Times New Roman"/>
          <w:color w:val="auto"/>
          <w:spacing w:val="14"/>
          <w:sz w:val="32"/>
          <w:szCs w:val="32"/>
          <w:highlight w:val="none"/>
          <w:lang w:eastAsia="zh-CN"/>
        </w:rPr>
        <w:t>七</w:t>
      </w:r>
      <w:r>
        <w:rPr>
          <w:rFonts w:hint="default" w:ascii="Times New Roman" w:hAnsi="Times New Roman" w:eastAsia="黑体" w:cs="Times New Roman"/>
          <w:color w:val="auto"/>
          <w:spacing w:val="14"/>
          <w:sz w:val="32"/>
          <w:szCs w:val="32"/>
          <w:highlight w:val="none"/>
        </w:rPr>
        <w:t>条</w:t>
      </w:r>
      <w:r>
        <w:rPr>
          <w:rFonts w:hint="default" w:ascii="Times New Roman" w:hAnsi="Times New Roman" w:eastAsia="仿宋_GB2312" w:cs="Times New Roman"/>
          <w:color w:val="auto"/>
          <w:spacing w:val="57"/>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未按本办法规定进行节能审查验收或验收不合格，擅自投入生产、使用的固定资产投资项目，以及以提供虚假材料等不正当手段通过节能审查验收的固定资产投资项目，由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发展改革、工业和信息化、能源部门按职责责令建设单位限期整改。不能整改、整改不到位或逾期不整改的，按项目审批（核准、备案）权限由同级发展改革部门按照法律法规的有关规定进行处罚。</w:t>
      </w:r>
    </w:p>
    <w:p w14:paraId="2F1D6E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八</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从事节能咨询、评审等节能服务的机构提供节能审查虚假信息或咨询评估意见严重失实的，由省发展改革委责令改正，没收违法所得，并按照法律法规的有关规定处罚。</w:t>
      </w:r>
    </w:p>
    <w:p w14:paraId="07A3B2B0">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九</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4"/>
          <w:sz w:val="32"/>
          <w:szCs w:val="32"/>
          <w:highlight w:val="none"/>
          <w:lang w:eastAsia="zh-CN"/>
        </w:rPr>
        <w:t>各级发展改革部门</w:t>
      </w:r>
      <w:r>
        <w:rPr>
          <w:rFonts w:hint="eastAsia" w:ascii="Times New Roman" w:hAnsi="Times New Roman" w:eastAsia="仿宋_GB2312" w:cs="Times New Roman"/>
          <w:color w:val="auto"/>
          <w:spacing w:val="0"/>
          <w:sz w:val="32"/>
          <w:szCs w:val="32"/>
          <w:highlight w:val="none"/>
          <w:lang w:eastAsia="zh-CN" w:bidi="ar"/>
        </w:rPr>
        <w:t>对建设单位、节能服务机构等的违法违规信息进行归集和记录，将违法违规行为及其处理信息纳入全国信用信息共享平台（贵州）和投资项目在线审批监管平台，在“信用中国（贵州）”网站向社会公开。对列入严重失信主体名单的，依法依规实施联合惩戒措施。</w:t>
      </w:r>
    </w:p>
    <w:p w14:paraId="0736913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w:t>
      </w:r>
      <w:r>
        <w:rPr>
          <w:rFonts w:hint="default" w:ascii="Times New Roman" w:hAnsi="Times New Roman" w:eastAsia="黑体" w:cs="Times New Roman"/>
          <w:color w:val="auto"/>
          <w:spacing w:val="-1"/>
          <w:sz w:val="32"/>
          <w:szCs w:val="32"/>
          <w:highlight w:val="none"/>
          <w:lang w:eastAsia="zh-CN"/>
        </w:rPr>
        <w:t>三</w:t>
      </w:r>
      <w:r>
        <w:rPr>
          <w:rFonts w:hint="default" w:ascii="Times New Roman" w:hAnsi="Times New Roman" w:eastAsia="黑体" w:cs="Times New Roman"/>
          <w:color w:val="auto"/>
          <w:spacing w:val="-1"/>
          <w:sz w:val="32"/>
          <w:szCs w:val="32"/>
          <w:highlight w:val="none"/>
        </w:rPr>
        <w:t>十条</w:t>
      </w:r>
      <w:r>
        <w:rPr>
          <w:rFonts w:hint="default" w:ascii="Times New Roman" w:hAnsi="Times New Roman" w:eastAsia="黑体" w:cs="Times New Roman"/>
          <w:color w:val="auto"/>
          <w:spacing w:val="49"/>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负责审批政府投资项目的工作人员，对未进行节能审查或节能审查未获通过的项目，违反本办法规定予以批准的，依法给予处分。</w:t>
      </w:r>
    </w:p>
    <w:p w14:paraId="3A4422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第三十</w:t>
      </w:r>
      <w:r>
        <w:rPr>
          <w:rFonts w:hint="default" w:ascii="Times New Roman" w:hAnsi="Times New Roman" w:eastAsia="黑体" w:cs="Times New Roman"/>
          <w:color w:val="auto"/>
          <w:spacing w:val="-1"/>
          <w:sz w:val="32"/>
          <w:szCs w:val="32"/>
          <w:highlight w:val="none"/>
          <w:lang w:eastAsia="zh-CN"/>
        </w:rPr>
        <w:t>一</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节能审查机关、节能评审机构工作人员以及其他参与评审的有关人员在节能评审中存在违纪违法行为，依法依规给予处分，构成犯罪的依法追究刑事责任。</w:t>
      </w:r>
    </w:p>
    <w:p w14:paraId="4C77626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1"/>
        <w:rPr>
          <w:rFonts w:hint="default" w:ascii="Times New Roman" w:hAnsi="Times New Roman" w:eastAsia="黑体" w:cs="Times New Roman"/>
          <w:color w:val="auto"/>
          <w:spacing w:val="-8"/>
          <w:sz w:val="32"/>
          <w:szCs w:val="32"/>
          <w:highlight w:val="none"/>
        </w:rPr>
      </w:pPr>
      <w:r>
        <w:rPr>
          <w:rFonts w:hint="default" w:ascii="Times New Roman" w:hAnsi="Times New Roman" w:eastAsia="黑体" w:cs="Times New Roman"/>
          <w:color w:val="auto"/>
          <w:spacing w:val="-8"/>
          <w:sz w:val="32"/>
          <w:szCs w:val="32"/>
          <w:highlight w:val="none"/>
        </w:rPr>
        <w:t>第六章  附则</w:t>
      </w:r>
    </w:p>
    <w:p w14:paraId="2A707A9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第三十</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本实施办法由省发展改革委、</w:t>
      </w:r>
      <w:r>
        <w:rPr>
          <w:rFonts w:hint="eastAsia" w:ascii="Times New Roman" w:hAnsi="Times New Roman" w:eastAsia="仿宋_GB2312" w:cs="Times New Roman"/>
          <w:color w:val="auto"/>
          <w:spacing w:val="0"/>
          <w:sz w:val="32"/>
          <w:szCs w:val="32"/>
          <w:highlight w:val="none"/>
          <w:lang w:val="en-US" w:eastAsia="zh-CN" w:bidi="ar"/>
        </w:rPr>
        <w:t>省工业和信息化厅</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省能源局</w:t>
      </w:r>
      <w:r>
        <w:rPr>
          <w:rFonts w:hint="eastAsia" w:ascii="Times New Roman" w:hAnsi="Times New Roman" w:eastAsia="仿宋_GB2312" w:cs="Times New Roman"/>
          <w:color w:val="auto"/>
          <w:spacing w:val="0"/>
          <w:sz w:val="32"/>
          <w:szCs w:val="32"/>
          <w:highlight w:val="none"/>
          <w:lang w:eastAsia="zh-CN" w:bidi="ar"/>
        </w:rPr>
        <w:t>负责解释。</w:t>
      </w:r>
    </w:p>
    <w:p w14:paraId="1423AD2C">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20" w:firstLineChars="200"/>
        <w:jc w:val="both"/>
        <w:textAlignment w:val="baseline"/>
        <w:rPr>
          <w:rFonts w:hint="eastAsia" w:ascii="Times New Roman" w:hAnsi="Times New Roman" w:eastAsia="仿宋_GB2312" w:cs="Times New Roman"/>
          <w:color w:val="auto"/>
          <w:spacing w:val="0"/>
          <w:position w:val="0"/>
          <w:sz w:val="32"/>
          <w:szCs w:val="32"/>
          <w:highlight w:val="none"/>
          <w:lang w:eastAsia="zh-CN" w:bidi="ar"/>
        </w:rPr>
      </w:pPr>
      <w:r>
        <w:rPr>
          <w:rFonts w:hint="default" w:ascii="Times New Roman" w:hAnsi="Times New Roman" w:eastAsia="黑体" w:cs="Times New Roman"/>
          <w:color w:val="auto"/>
          <w:spacing w:val="-5"/>
          <w:sz w:val="32"/>
          <w:szCs w:val="32"/>
          <w:highlight w:val="none"/>
        </w:rPr>
        <w:t>第三十</w:t>
      </w:r>
      <w:r>
        <w:rPr>
          <w:rFonts w:hint="default" w:ascii="Times New Roman" w:hAnsi="Times New Roman" w:eastAsia="黑体" w:cs="Times New Roman"/>
          <w:color w:val="auto"/>
          <w:spacing w:val="-5"/>
          <w:sz w:val="32"/>
          <w:szCs w:val="32"/>
          <w:highlight w:val="none"/>
          <w:lang w:eastAsia="zh-CN"/>
        </w:rPr>
        <w:t>三</w:t>
      </w:r>
      <w:r>
        <w:rPr>
          <w:rFonts w:hint="default" w:ascii="Times New Roman" w:hAnsi="Times New Roman" w:eastAsia="黑体" w:cs="Times New Roman"/>
          <w:color w:val="auto"/>
          <w:spacing w:val="-5"/>
          <w:sz w:val="32"/>
          <w:szCs w:val="32"/>
          <w:highlight w:val="none"/>
        </w:rPr>
        <w:t>条</w:t>
      </w:r>
      <w:r>
        <w:rPr>
          <w:rFonts w:hint="default" w:ascii="Times New Roman" w:hAnsi="Times New Roman" w:eastAsia="仿宋_GB2312" w:cs="Times New Roman"/>
          <w:color w:val="auto"/>
          <w:spacing w:val="56"/>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本实施办法自印发之日起施行。原《贵州省固定资产投资项目节能审查实施办法》（黔发改环资〔2023〕591号）、《贵州省工业领域固定资产投资项目节能审查实施办法》（黔工信〔2024〕31号）</w:t>
      </w:r>
      <w:r>
        <w:rPr>
          <w:rFonts w:hint="eastAsia" w:ascii="Times New Roman" w:hAnsi="Times New Roman" w:eastAsia="仿宋_GB2312" w:cs="Times New Roman"/>
          <w:color w:val="auto"/>
          <w:spacing w:val="0"/>
          <w:position w:val="0"/>
          <w:sz w:val="32"/>
          <w:szCs w:val="32"/>
          <w:highlight w:val="none"/>
          <w:lang w:eastAsia="zh-CN" w:bidi="ar"/>
        </w:rPr>
        <w:t>同时废止。</w:t>
      </w:r>
    </w:p>
    <w:p w14:paraId="49C81514">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position w:val="0"/>
          <w:sz w:val="32"/>
          <w:szCs w:val="32"/>
          <w:highlight w:val="none"/>
          <w:lang w:eastAsia="zh-CN" w:bidi="ar"/>
        </w:rPr>
      </w:pPr>
    </w:p>
    <w:p w14:paraId="3E0AB945">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1600" w:firstLineChars="500"/>
        <w:jc w:val="both"/>
        <w:textAlignment w:val="baseline"/>
        <w:rPr>
          <w:rFonts w:hint="eastAsia" w:ascii="Times New Roman" w:hAnsi="Times New Roman" w:eastAsia="仿宋_GB2312" w:cs="Times New Roman"/>
          <w:color w:val="auto"/>
          <w:spacing w:val="0"/>
          <w:sz w:val="32"/>
          <w:szCs w:val="32"/>
          <w:highlight w:val="none"/>
          <w:lang w:eastAsia="zh-CN" w:bidi="ar"/>
        </w:rPr>
      </w:pPr>
    </w:p>
    <w:sectPr>
      <w:footerReference r:id="rId5" w:type="default"/>
      <w:pgSz w:w="11906" w:h="16839"/>
      <w:pgMar w:top="1440" w:right="1701" w:bottom="1440" w:left="1701" w:header="0" w:footer="96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AFF5EE6-91FC-43E9-9CB6-9F33A62CB434}"/>
  </w:font>
  <w:font w:name="黑体">
    <w:panose1 w:val="02010609060101010101"/>
    <w:charset w:val="86"/>
    <w:family w:val="auto"/>
    <w:pitch w:val="default"/>
    <w:sig w:usb0="800002BF" w:usb1="38CF7CFA" w:usb2="00000016" w:usb3="00000000" w:csb0="00040001" w:csb1="00000000"/>
    <w:embedRegular r:id="rId2" w:fontKey="{A9C0FB01-EBE9-4FCB-9BEB-125D015CB1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451EE8F5-036D-43FE-B7DA-A67238302906}"/>
  </w:font>
  <w:font w:name="仿宋_GB2312">
    <w:panose1 w:val="02010609030101010101"/>
    <w:charset w:val="86"/>
    <w:family w:val="auto"/>
    <w:pitch w:val="default"/>
    <w:sig w:usb0="00000001" w:usb1="080E0000" w:usb2="00000000" w:usb3="00000000" w:csb0="00040000" w:csb1="00000000"/>
    <w:embedRegular r:id="rId4" w:fontKey="{A1A44F4C-AF4A-45FE-BC45-1BEF73922017}"/>
  </w:font>
  <w:font w:name="楷体_GB2312">
    <w:panose1 w:val="02010609030101010101"/>
    <w:charset w:val="86"/>
    <w:family w:val="auto"/>
    <w:pitch w:val="default"/>
    <w:sig w:usb0="00000001" w:usb1="080E0000" w:usb2="00000000" w:usb3="00000000" w:csb0="00040000" w:csb1="00000000"/>
    <w:embedRegular r:id="rId5" w:fontKey="{E5D09A3D-6065-4E2B-A251-9CE8194CC5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7E5D">
    <w:pPr>
      <w:spacing w:line="440" w:lineRule="exact"/>
      <w:ind w:left="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18E0D">
                          <w:pPr>
                            <w:pStyle w:val="3"/>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118E0D">
                    <w:pPr>
                      <w:pStyle w:val="3"/>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04A71"/>
    <w:rsid w:val="0091008D"/>
    <w:rsid w:val="00E10DF0"/>
    <w:rsid w:val="00F436E4"/>
    <w:rsid w:val="019404F8"/>
    <w:rsid w:val="024D764E"/>
    <w:rsid w:val="02557C87"/>
    <w:rsid w:val="02587777"/>
    <w:rsid w:val="02691984"/>
    <w:rsid w:val="02876A33"/>
    <w:rsid w:val="02965EB5"/>
    <w:rsid w:val="02AE00E7"/>
    <w:rsid w:val="0328714A"/>
    <w:rsid w:val="032D7483"/>
    <w:rsid w:val="035F0D43"/>
    <w:rsid w:val="03FD2384"/>
    <w:rsid w:val="042129B1"/>
    <w:rsid w:val="055376C9"/>
    <w:rsid w:val="05735006"/>
    <w:rsid w:val="058C1847"/>
    <w:rsid w:val="063C36AB"/>
    <w:rsid w:val="063E5F97"/>
    <w:rsid w:val="065B11F4"/>
    <w:rsid w:val="06AE33F4"/>
    <w:rsid w:val="06E635A4"/>
    <w:rsid w:val="071F0864"/>
    <w:rsid w:val="074F1C89"/>
    <w:rsid w:val="07521B5C"/>
    <w:rsid w:val="076F3C01"/>
    <w:rsid w:val="079059F3"/>
    <w:rsid w:val="07B77E12"/>
    <w:rsid w:val="07BC4304"/>
    <w:rsid w:val="07CD02C0"/>
    <w:rsid w:val="07CD1026"/>
    <w:rsid w:val="07F545F4"/>
    <w:rsid w:val="084367D4"/>
    <w:rsid w:val="086C7AD9"/>
    <w:rsid w:val="087D3E3B"/>
    <w:rsid w:val="08C83337"/>
    <w:rsid w:val="09400649"/>
    <w:rsid w:val="09B01E83"/>
    <w:rsid w:val="09BC183D"/>
    <w:rsid w:val="09C252EF"/>
    <w:rsid w:val="0A481E7F"/>
    <w:rsid w:val="0A4F2593"/>
    <w:rsid w:val="0A682522"/>
    <w:rsid w:val="0AF73FD1"/>
    <w:rsid w:val="0B016286"/>
    <w:rsid w:val="0BC4572B"/>
    <w:rsid w:val="0C594818"/>
    <w:rsid w:val="0CC54186"/>
    <w:rsid w:val="0CC635A9"/>
    <w:rsid w:val="0CDF4D1D"/>
    <w:rsid w:val="0CF90179"/>
    <w:rsid w:val="0D14070E"/>
    <w:rsid w:val="0D927D01"/>
    <w:rsid w:val="0DB138BA"/>
    <w:rsid w:val="0E5D1D32"/>
    <w:rsid w:val="0EE303C9"/>
    <w:rsid w:val="0F3F26BD"/>
    <w:rsid w:val="10036F74"/>
    <w:rsid w:val="102E38C6"/>
    <w:rsid w:val="10562ED2"/>
    <w:rsid w:val="105B03FF"/>
    <w:rsid w:val="108C17E0"/>
    <w:rsid w:val="10D825E0"/>
    <w:rsid w:val="11214E68"/>
    <w:rsid w:val="11755C50"/>
    <w:rsid w:val="11922413"/>
    <w:rsid w:val="11C24DB9"/>
    <w:rsid w:val="12502219"/>
    <w:rsid w:val="12850115"/>
    <w:rsid w:val="12C92A41"/>
    <w:rsid w:val="12DA2138"/>
    <w:rsid w:val="13596EAB"/>
    <w:rsid w:val="13C94031"/>
    <w:rsid w:val="13D7E726"/>
    <w:rsid w:val="13E0137B"/>
    <w:rsid w:val="13E73A9D"/>
    <w:rsid w:val="13EA37AC"/>
    <w:rsid w:val="13EF5C44"/>
    <w:rsid w:val="14025795"/>
    <w:rsid w:val="14223741"/>
    <w:rsid w:val="143B15B7"/>
    <w:rsid w:val="14435ECB"/>
    <w:rsid w:val="146A4989"/>
    <w:rsid w:val="14733768"/>
    <w:rsid w:val="14866E67"/>
    <w:rsid w:val="14FB2910"/>
    <w:rsid w:val="15244FBD"/>
    <w:rsid w:val="152559AD"/>
    <w:rsid w:val="154D21E6"/>
    <w:rsid w:val="15842905"/>
    <w:rsid w:val="158B2D0B"/>
    <w:rsid w:val="158E4113"/>
    <w:rsid w:val="158F015F"/>
    <w:rsid w:val="15D62041"/>
    <w:rsid w:val="16243949"/>
    <w:rsid w:val="1653052A"/>
    <w:rsid w:val="165C1BB1"/>
    <w:rsid w:val="166045AC"/>
    <w:rsid w:val="16677B31"/>
    <w:rsid w:val="1709033B"/>
    <w:rsid w:val="17170A96"/>
    <w:rsid w:val="176E52DC"/>
    <w:rsid w:val="183A70E6"/>
    <w:rsid w:val="185D1172"/>
    <w:rsid w:val="18F63580"/>
    <w:rsid w:val="190351FF"/>
    <w:rsid w:val="191747A4"/>
    <w:rsid w:val="19410B0E"/>
    <w:rsid w:val="19410E38"/>
    <w:rsid w:val="19803B3F"/>
    <w:rsid w:val="19FB0CBC"/>
    <w:rsid w:val="1A5D2FBC"/>
    <w:rsid w:val="1A8769F4"/>
    <w:rsid w:val="1AA54498"/>
    <w:rsid w:val="1B4A0114"/>
    <w:rsid w:val="1B6B3C20"/>
    <w:rsid w:val="1B8054EF"/>
    <w:rsid w:val="1BB4390C"/>
    <w:rsid w:val="1BDC26E6"/>
    <w:rsid w:val="1BE04EA8"/>
    <w:rsid w:val="1C0E6871"/>
    <w:rsid w:val="1C100BD6"/>
    <w:rsid w:val="1C312204"/>
    <w:rsid w:val="1C933367"/>
    <w:rsid w:val="1CA1028F"/>
    <w:rsid w:val="1CCF4377"/>
    <w:rsid w:val="1CE7377A"/>
    <w:rsid w:val="1CF23C90"/>
    <w:rsid w:val="1D306E07"/>
    <w:rsid w:val="1D7B2CE2"/>
    <w:rsid w:val="1DB713A8"/>
    <w:rsid w:val="1DCA2E80"/>
    <w:rsid w:val="1DDE7CD3"/>
    <w:rsid w:val="1DFF271D"/>
    <w:rsid w:val="1E3429EF"/>
    <w:rsid w:val="1E395278"/>
    <w:rsid w:val="1E5803FA"/>
    <w:rsid w:val="1ECC0E79"/>
    <w:rsid w:val="1F182C35"/>
    <w:rsid w:val="1FFC170E"/>
    <w:rsid w:val="202F7912"/>
    <w:rsid w:val="203C016F"/>
    <w:rsid w:val="205E5B0E"/>
    <w:rsid w:val="20EE3329"/>
    <w:rsid w:val="21584C46"/>
    <w:rsid w:val="218B1246"/>
    <w:rsid w:val="22244B28"/>
    <w:rsid w:val="2234120F"/>
    <w:rsid w:val="223B4FEB"/>
    <w:rsid w:val="2274076A"/>
    <w:rsid w:val="229746F3"/>
    <w:rsid w:val="22B855C3"/>
    <w:rsid w:val="22BA10EF"/>
    <w:rsid w:val="22D53B9A"/>
    <w:rsid w:val="236811C3"/>
    <w:rsid w:val="236C49D9"/>
    <w:rsid w:val="23D208E0"/>
    <w:rsid w:val="23E46C65"/>
    <w:rsid w:val="23FA7E6D"/>
    <w:rsid w:val="241E5CD3"/>
    <w:rsid w:val="244A0F81"/>
    <w:rsid w:val="246A25D1"/>
    <w:rsid w:val="247E49C4"/>
    <w:rsid w:val="24F84594"/>
    <w:rsid w:val="250926EA"/>
    <w:rsid w:val="253C5965"/>
    <w:rsid w:val="253F55D6"/>
    <w:rsid w:val="25875AFA"/>
    <w:rsid w:val="259F45C7"/>
    <w:rsid w:val="25C06A88"/>
    <w:rsid w:val="25CB51FF"/>
    <w:rsid w:val="25D074A1"/>
    <w:rsid w:val="25FA4702"/>
    <w:rsid w:val="260D0B0E"/>
    <w:rsid w:val="263271C9"/>
    <w:rsid w:val="267B565F"/>
    <w:rsid w:val="26B02E2F"/>
    <w:rsid w:val="272555CB"/>
    <w:rsid w:val="279974FF"/>
    <w:rsid w:val="27B64475"/>
    <w:rsid w:val="27E86D24"/>
    <w:rsid w:val="27F37477"/>
    <w:rsid w:val="28013281"/>
    <w:rsid w:val="28810F26"/>
    <w:rsid w:val="28A32C4B"/>
    <w:rsid w:val="28A864B3"/>
    <w:rsid w:val="292C2C40"/>
    <w:rsid w:val="297A3E18"/>
    <w:rsid w:val="29B81381"/>
    <w:rsid w:val="29DF052B"/>
    <w:rsid w:val="29F41960"/>
    <w:rsid w:val="29F554B9"/>
    <w:rsid w:val="2A144834"/>
    <w:rsid w:val="2AA44A58"/>
    <w:rsid w:val="2AA80AEB"/>
    <w:rsid w:val="2B3B716B"/>
    <w:rsid w:val="2B550C2B"/>
    <w:rsid w:val="2B603075"/>
    <w:rsid w:val="2B9E3DE3"/>
    <w:rsid w:val="2BBA626A"/>
    <w:rsid w:val="2BBB7498"/>
    <w:rsid w:val="2BFD6F72"/>
    <w:rsid w:val="2C101CE9"/>
    <w:rsid w:val="2C1C39EC"/>
    <w:rsid w:val="2C6170A5"/>
    <w:rsid w:val="2C923702"/>
    <w:rsid w:val="2CAA489A"/>
    <w:rsid w:val="2D053ED4"/>
    <w:rsid w:val="2D342E7B"/>
    <w:rsid w:val="2D560F91"/>
    <w:rsid w:val="2D872B3B"/>
    <w:rsid w:val="2D9C7361"/>
    <w:rsid w:val="2DA70645"/>
    <w:rsid w:val="2DAFC4BC"/>
    <w:rsid w:val="2E297EB4"/>
    <w:rsid w:val="2E3330F2"/>
    <w:rsid w:val="2E5F7687"/>
    <w:rsid w:val="2E70537D"/>
    <w:rsid w:val="2E8F766D"/>
    <w:rsid w:val="2E957C6F"/>
    <w:rsid w:val="2EA25CE1"/>
    <w:rsid w:val="2EFC8FCF"/>
    <w:rsid w:val="2FB00161"/>
    <w:rsid w:val="2FFF4EFF"/>
    <w:rsid w:val="304C3545"/>
    <w:rsid w:val="30A9768F"/>
    <w:rsid w:val="30D81136"/>
    <w:rsid w:val="30E12562"/>
    <w:rsid w:val="311F73D3"/>
    <w:rsid w:val="31436777"/>
    <w:rsid w:val="323D694A"/>
    <w:rsid w:val="324A5B7D"/>
    <w:rsid w:val="325C4129"/>
    <w:rsid w:val="3298484E"/>
    <w:rsid w:val="32A648A8"/>
    <w:rsid w:val="3341378C"/>
    <w:rsid w:val="337C4BF2"/>
    <w:rsid w:val="3380787D"/>
    <w:rsid w:val="33E5542A"/>
    <w:rsid w:val="33F063D8"/>
    <w:rsid w:val="34333D66"/>
    <w:rsid w:val="34D85FF9"/>
    <w:rsid w:val="34F565DC"/>
    <w:rsid w:val="350A405D"/>
    <w:rsid w:val="352B46F4"/>
    <w:rsid w:val="352D3560"/>
    <w:rsid w:val="355C4A8C"/>
    <w:rsid w:val="359D4169"/>
    <w:rsid w:val="36176A26"/>
    <w:rsid w:val="36522B40"/>
    <w:rsid w:val="36B85B13"/>
    <w:rsid w:val="36FFF59E"/>
    <w:rsid w:val="37105528"/>
    <w:rsid w:val="37482752"/>
    <w:rsid w:val="37906A90"/>
    <w:rsid w:val="37AE4E61"/>
    <w:rsid w:val="38741893"/>
    <w:rsid w:val="38E75D8E"/>
    <w:rsid w:val="395835DE"/>
    <w:rsid w:val="395F496C"/>
    <w:rsid w:val="3979779C"/>
    <w:rsid w:val="39A10518"/>
    <w:rsid w:val="39B40D89"/>
    <w:rsid w:val="3A8E0B3B"/>
    <w:rsid w:val="3AE41E37"/>
    <w:rsid w:val="3B1F4044"/>
    <w:rsid w:val="3B485715"/>
    <w:rsid w:val="3B516536"/>
    <w:rsid w:val="3B60397A"/>
    <w:rsid w:val="3B742225"/>
    <w:rsid w:val="3B761C52"/>
    <w:rsid w:val="3BE1671C"/>
    <w:rsid w:val="3BE35509"/>
    <w:rsid w:val="3CA64660"/>
    <w:rsid w:val="3CAD706A"/>
    <w:rsid w:val="3CB61132"/>
    <w:rsid w:val="3CD37F07"/>
    <w:rsid w:val="3D324BDD"/>
    <w:rsid w:val="3D792DFA"/>
    <w:rsid w:val="3D7D3613"/>
    <w:rsid w:val="3D8C473C"/>
    <w:rsid w:val="3DD27E02"/>
    <w:rsid w:val="3DEF28B6"/>
    <w:rsid w:val="3E13538A"/>
    <w:rsid w:val="3E1958BD"/>
    <w:rsid w:val="3E3C3F29"/>
    <w:rsid w:val="3E6134D9"/>
    <w:rsid w:val="3E682515"/>
    <w:rsid w:val="3E861E0E"/>
    <w:rsid w:val="3E985BD3"/>
    <w:rsid w:val="3ECD252B"/>
    <w:rsid w:val="3ED2074B"/>
    <w:rsid w:val="3EF8635E"/>
    <w:rsid w:val="3F091DB0"/>
    <w:rsid w:val="3F2448D2"/>
    <w:rsid w:val="3F3F582F"/>
    <w:rsid w:val="3F8F762D"/>
    <w:rsid w:val="3FB3A1C0"/>
    <w:rsid w:val="3FCE0FEC"/>
    <w:rsid w:val="3FDF3AA4"/>
    <w:rsid w:val="40685642"/>
    <w:rsid w:val="40B530C4"/>
    <w:rsid w:val="40BD0C5A"/>
    <w:rsid w:val="40C227B1"/>
    <w:rsid w:val="40E8793D"/>
    <w:rsid w:val="40E9060D"/>
    <w:rsid w:val="4137435A"/>
    <w:rsid w:val="41570C59"/>
    <w:rsid w:val="41F863CA"/>
    <w:rsid w:val="41F929F3"/>
    <w:rsid w:val="421107CE"/>
    <w:rsid w:val="421B164C"/>
    <w:rsid w:val="42CE73D2"/>
    <w:rsid w:val="42F74FEE"/>
    <w:rsid w:val="432D2F2C"/>
    <w:rsid w:val="43746DCA"/>
    <w:rsid w:val="43893D54"/>
    <w:rsid w:val="43C875B2"/>
    <w:rsid w:val="43E92E55"/>
    <w:rsid w:val="44354C47"/>
    <w:rsid w:val="444255B6"/>
    <w:rsid w:val="447C2876"/>
    <w:rsid w:val="449A2CFC"/>
    <w:rsid w:val="44FE12D3"/>
    <w:rsid w:val="451248BC"/>
    <w:rsid w:val="45AA7D54"/>
    <w:rsid w:val="45CB49F3"/>
    <w:rsid w:val="45D146FC"/>
    <w:rsid w:val="45EC3A2B"/>
    <w:rsid w:val="465D7E5D"/>
    <w:rsid w:val="468C2B19"/>
    <w:rsid w:val="469B1418"/>
    <w:rsid w:val="478F0E0D"/>
    <w:rsid w:val="47C720F3"/>
    <w:rsid w:val="48517B76"/>
    <w:rsid w:val="48A0193F"/>
    <w:rsid w:val="49A62FC2"/>
    <w:rsid w:val="49EC51DC"/>
    <w:rsid w:val="4A013321"/>
    <w:rsid w:val="4A272EA8"/>
    <w:rsid w:val="4A2D22B6"/>
    <w:rsid w:val="4A8A7297"/>
    <w:rsid w:val="4A9B5EFF"/>
    <w:rsid w:val="4AFB05E6"/>
    <w:rsid w:val="4B046389"/>
    <w:rsid w:val="4B1C41A1"/>
    <w:rsid w:val="4B517948"/>
    <w:rsid w:val="4BAC2403"/>
    <w:rsid w:val="4C1279BB"/>
    <w:rsid w:val="4C3B6749"/>
    <w:rsid w:val="4C7F7227"/>
    <w:rsid w:val="4CA566E2"/>
    <w:rsid w:val="4CB63DBA"/>
    <w:rsid w:val="4CE52F83"/>
    <w:rsid w:val="4CF33D19"/>
    <w:rsid w:val="4D1D0B8E"/>
    <w:rsid w:val="4D557C57"/>
    <w:rsid w:val="4D5F1345"/>
    <w:rsid w:val="4D9F405C"/>
    <w:rsid w:val="4EDB288F"/>
    <w:rsid w:val="4EDE2C63"/>
    <w:rsid w:val="4EF36342"/>
    <w:rsid w:val="4F0C0C9A"/>
    <w:rsid w:val="4F130CF7"/>
    <w:rsid w:val="4F493C9D"/>
    <w:rsid w:val="4FAA672F"/>
    <w:rsid w:val="4FE415EA"/>
    <w:rsid w:val="503D7A3B"/>
    <w:rsid w:val="50715259"/>
    <w:rsid w:val="509B4084"/>
    <w:rsid w:val="509F438B"/>
    <w:rsid w:val="51527A81"/>
    <w:rsid w:val="51933AF9"/>
    <w:rsid w:val="519B1447"/>
    <w:rsid w:val="51AE6039"/>
    <w:rsid w:val="52971174"/>
    <w:rsid w:val="52AB2F84"/>
    <w:rsid w:val="536C61AC"/>
    <w:rsid w:val="53A21BCD"/>
    <w:rsid w:val="53BF5A25"/>
    <w:rsid w:val="549C661D"/>
    <w:rsid w:val="54B81D72"/>
    <w:rsid w:val="54BB23D1"/>
    <w:rsid w:val="54E57FC4"/>
    <w:rsid w:val="54F57D75"/>
    <w:rsid w:val="54F627E5"/>
    <w:rsid w:val="55705144"/>
    <w:rsid w:val="558F1F05"/>
    <w:rsid w:val="55C34F24"/>
    <w:rsid w:val="56332E4C"/>
    <w:rsid w:val="56654C7E"/>
    <w:rsid w:val="5695020B"/>
    <w:rsid w:val="56AF54DC"/>
    <w:rsid w:val="56E12A0D"/>
    <w:rsid w:val="56F664B8"/>
    <w:rsid w:val="56F92625"/>
    <w:rsid w:val="57561032"/>
    <w:rsid w:val="579456F9"/>
    <w:rsid w:val="57956E41"/>
    <w:rsid w:val="579655A5"/>
    <w:rsid w:val="57AC7F5B"/>
    <w:rsid w:val="57AE0B41"/>
    <w:rsid w:val="57BE71A9"/>
    <w:rsid w:val="57ED126D"/>
    <w:rsid w:val="58707689"/>
    <w:rsid w:val="5872293E"/>
    <w:rsid w:val="589E6E07"/>
    <w:rsid w:val="59462FFB"/>
    <w:rsid w:val="595C281E"/>
    <w:rsid w:val="5A5870F8"/>
    <w:rsid w:val="5A5A7E2E"/>
    <w:rsid w:val="5A750E7B"/>
    <w:rsid w:val="5B1B56DE"/>
    <w:rsid w:val="5B763B85"/>
    <w:rsid w:val="5BAE6F09"/>
    <w:rsid w:val="5C13166B"/>
    <w:rsid w:val="5C2744BE"/>
    <w:rsid w:val="5C5D2B35"/>
    <w:rsid w:val="5CAE513F"/>
    <w:rsid w:val="5CB0535B"/>
    <w:rsid w:val="5CDB3A5A"/>
    <w:rsid w:val="5D2A03EE"/>
    <w:rsid w:val="5D30024A"/>
    <w:rsid w:val="5E5419D2"/>
    <w:rsid w:val="5EC42689"/>
    <w:rsid w:val="5F577493"/>
    <w:rsid w:val="5F751F44"/>
    <w:rsid w:val="5F7B7FC5"/>
    <w:rsid w:val="5FAB1E0A"/>
    <w:rsid w:val="5FFA3C1F"/>
    <w:rsid w:val="5FFF9E0E"/>
    <w:rsid w:val="60124989"/>
    <w:rsid w:val="60310561"/>
    <w:rsid w:val="60367925"/>
    <w:rsid w:val="605924CC"/>
    <w:rsid w:val="607641C6"/>
    <w:rsid w:val="60A46F85"/>
    <w:rsid w:val="60CC028A"/>
    <w:rsid w:val="60CC28A6"/>
    <w:rsid w:val="616C13D1"/>
    <w:rsid w:val="6199479A"/>
    <w:rsid w:val="61B400D2"/>
    <w:rsid w:val="61B50D1E"/>
    <w:rsid w:val="61BE05A5"/>
    <w:rsid w:val="61F1480D"/>
    <w:rsid w:val="62066573"/>
    <w:rsid w:val="62C74E11"/>
    <w:rsid w:val="62D82F16"/>
    <w:rsid w:val="635B58F5"/>
    <w:rsid w:val="6361084A"/>
    <w:rsid w:val="636576C6"/>
    <w:rsid w:val="638D0B4D"/>
    <w:rsid w:val="639532C6"/>
    <w:rsid w:val="639D7CBB"/>
    <w:rsid w:val="642804D7"/>
    <w:rsid w:val="64982006"/>
    <w:rsid w:val="64AB06D2"/>
    <w:rsid w:val="64BE25DF"/>
    <w:rsid w:val="64CC2881"/>
    <w:rsid w:val="64E12A70"/>
    <w:rsid w:val="64E77440"/>
    <w:rsid w:val="64FF2A80"/>
    <w:rsid w:val="656C5E93"/>
    <w:rsid w:val="657B2729"/>
    <w:rsid w:val="657B8344"/>
    <w:rsid w:val="65F74724"/>
    <w:rsid w:val="660C1021"/>
    <w:rsid w:val="66432F92"/>
    <w:rsid w:val="666F738B"/>
    <w:rsid w:val="669211E5"/>
    <w:rsid w:val="677D5E3A"/>
    <w:rsid w:val="67914B86"/>
    <w:rsid w:val="681A2B25"/>
    <w:rsid w:val="682B16F7"/>
    <w:rsid w:val="68827032"/>
    <w:rsid w:val="688D47A2"/>
    <w:rsid w:val="68F856AC"/>
    <w:rsid w:val="690507DD"/>
    <w:rsid w:val="691968F2"/>
    <w:rsid w:val="692348B6"/>
    <w:rsid w:val="69790EAA"/>
    <w:rsid w:val="69CF5C73"/>
    <w:rsid w:val="69D46B63"/>
    <w:rsid w:val="6A0A597F"/>
    <w:rsid w:val="6A2A4FAD"/>
    <w:rsid w:val="6AC05D9D"/>
    <w:rsid w:val="6AF326FD"/>
    <w:rsid w:val="6AF34AEE"/>
    <w:rsid w:val="6AFE676C"/>
    <w:rsid w:val="6B4B3FB2"/>
    <w:rsid w:val="6B51524C"/>
    <w:rsid w:val="6BC77FCB"/>
    <w:rsid w:val="6C394029"/>
    <w:rsid w:val="6C922CA9"/>
    <w:rsid w:val="6CAE5601"/>
    <w:rsid w:val="6D612EC3"/>
    <w:rsid w:val="6D673814"/>
    <w:rsid w:val="6DD35943"/>
    <w:rsid w:val="6DEB2990"/>
    <w:rsid w:val="6DFF7328"/>
    <w:rsid w:val="6E0977B6"/>
    <w:rsid w:val="6E0C3108"/>
    <w:rsid w:val="6E157E99"/>
    <w:rsid w:val="6E41268E"/>
    <w:rsid w:val="6E48546A"/>
    <w:rsid w:val="6E6414B1"/>
    <w:rsid w:val="6E777813"/>
    <w:rsid w:val="6EC83968"/>
    <w:rsid w:val="6F7FBBEE"/>
    <w:rsid w:val="6FB10442"/>
    <w:rsid w:val="6FE3114C"/>
    <w:rsid w:val="6FE67489"/>
    <w:rsid w:val="6FEB07CB"/>
    <w:rsid w:val="708D1B58"/>
    <w:rsid w:val="70A5384A"/>
    <w:rsid w:val="70F92A2E"/>
    <w:rsid w:val="713A4237"/>
    <w:rsid w:val="71911EDE"/>
    <w:rsid w:val="720B2197"/>
    <w:rsid w:val="723F4D5F"/>
    <w:rsid w:val="72486BA2"/>
    <w:rsid w:val="72831E96"/>
    <w:rsid w:val="72BF5B97"/>
    <w:rsid w:val="72D52262"/>
    <w:rsid w:val="732F25CC"/>
    <w:rsid w:val="737E50A7"/>
    <w:rsid w:val="740515D9"/>
    <w:rsid w:val="741C221E"/>
    <w:rsid w:val="743B4AEA"/>
    <w:rsid w:val="745937EA"/>
    <w:rsid w:val="74A0261F"/>
    <w:rsid w:val="74CE53B4"/>
    <w:rsid w:val="74DA2B1D"/>
    <w:rsid w:val="74F425D4"/>
    <w:rsid w:val="75067250"/>
    <w:rsid w:val="75137DDD"/>
    <w:rsid w:val="752E1722"/>
    <w:rsid w:val="75581C94"/>
    <w:rsid w:val="75626FD3"/>
    <w:rsid w:val="75791ED3"/>
    <w:rsid w:val="758A3D6D"/>
    <w:rsid w:val="75C153DB"/>
    <w:rsid w:val="75C850E6"/>
    <w:rsid w:val="75E657AD"/>
    <w:rsid w:val="75F65AAC"/>
    <w:rsid w:val="75FEAC47"/>
    <w:rsid w:val="76A1458D"/>
    <w:rsid w:val="77770AF7"/>
    <w:rsid w:val="7791100A"/>
    <w:rsid w:val="77DE0708"/>
    <w:rsid w:val="77F7D4BD"/>
    <w:rsid w:val="7819395D"/>
    <w:rsid w:val="7857203E"/>
    <w:rsid w:val="786D3CA8"/>
    <w:rsid w:val="78BF49FB"/>
    <w:rsid w:val="790E745B"/>
    <w:rsid w:val="79253032"/>
    <w:rsid w:val="796677D7"/>
    <w:rsid w:val="798662DF"/>
    <w:rsid w:val="79874901"/>
    <w:rsid w:val="79A63B17"/>
    <w:rsid w:val="79DA65B9"/>
    <w:rsid w:val="7A163075"/>
    <w:rsid w:val="7A3800E6"/>
    <w:rsid w:val="7A4626C0"/>
    <w:rsid w:val="7A5F74BC"/>
    <w:rsid w:val="7A7607F4"/>
    <w:rsid w:val="7A87130F"/>
    <w:rsid w:val="7AC202DC"/>
    <w:rsid w:val="7AD37193"/>
    <w:rsid w:val="7AE75F94"/>
    <w:rsid w:val="7B953BCC"/>
    <w:rsid w:val="7BCA5F36"/>
    <w:rsid w:val="7BEDD2BD"/>
    <w:rsid w:val="7C292631"/>
    <w:rsid w:val="7C5D68CB"/>
    <w:rsid w:val="7C77C13D"/>
    <w:rsid w:val="7CD33333"/>
    <w:rsid w:val="7CEF7382"/>
    <w:rsid w:val="7CF90026"/>
    <w:rsid w:val="7D097B23"/>
    <w:rsid w:val="7D2232B3"/>
    <w:rsid w:val="7D29576E"/>
    <w:rsid w:val="7D5C1858"/>
    <w:rsid w:val="7D6C2781"/>
    <w:rsid w:val="7D6E7A04"/>
    <w:rsid w:val="7DB468F8"/>
    <w:rsid w:val="7E04598F"/>
    <w:rsid w:val="7E076301"/>
    <w:rsid w:val="7E5F22E5"/>
    <w:rsid w:val="7EA47CF8"/>
    <w:rsid w:val="7EFC0F33"/>
    <w:rsid w:val="7EFD5072"/>
    <w:rsid w:val="7F236B93"/>
    <w:rsid w:val="7F363046"/>
    <w:rsid w:val="7F650DC4"/>
    <w:rsid w:val="7F6D3596"/>
    <w:rsid w:val="7F9C31E9"/>
    <w:rsid w:val="7FBA718A"/>
    <w:rsid w:val="7FC65583"/>
    <w:rsid w:val="7FEEEFEC"/>
    <w:rsid w:val="7FF6466E"/>
    <w:rsid w:val="7FFB7DEC"/>
    <w:rsid w:val="B5C2724B"/>
    <w:rsid w:val="D6510A67"/>
    <w:rsid w:val="D7AD06ED"/>
    <w:rsid w:val="D7FCEE1D"/>
    <w:rsid w:val="DFCD131F"/>
    <w:rsid w:val="EFBC05EF"/>
    <w:rsid w:val="F7AFA620"/>
    <w:rsid w:val="FF6E92BE"/>
    <w:rsid w:val="FFD7DB92"/>
    <w:rsid w:val="FFDB29A3"/>
    <w:rsid w:val="FFFB0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6722</Words>
  <Characters>6781</Characters>
  <TotalTime>5</TotalTime>
  <ScaleCrop>false</ScaleCrop>
  <LinksUpToDate>false</LinksUpToDate>
  <CharactersWithSpaces>6826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2025-07-28T18:22:00Z</dcterms:created>
  <dc:creator>user</dc:creator>
  <cp:lastModifiedBy>C林</cp:lastModifiedBy>
  <cp:lastPrinted>2025-12-26T07:23:00Z</cp:lastPrinted>
  <dcterms:modified xsi:type="dcterms:W3CDTF">2026-01-06T02:20:23Z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2025-07-25T14:18:50Z</vt:filetime>
  </property>
  <property fmtid="{D5CDD505-2E9C-101B-9397-08002B2CF9AE}" pid="4" name="KSOTemplateDocerSaveRecord">
    <vt:lpwstr>eyJoZGlkIjoiNjdlYzlmNzMzZDBiMzAwOTU2Nzk5MjQzMjg2YjgzYzEiLCJ1c2VySWQiOiI0ODY3MDgwNjIifQ==</vt:lpwstr>
  </property>
  <property fmtid="{D5CDD505-2E9C-101B-9397-08002B2CF9AE}" pid="5" name="KSOProductBuildVer">
    <vt:lpwstr>2052-12.1.0.24034</vt:lpwstr>
  </property>
  <property fmtid="{D5CDD505-2E9C-101B-9397-08002B2CF9AE}" pid="6" name="ICV">
    <vt:lpwstr>4484443A94334E0A918B0245A2473A78_13</vt:lpwstr>
  </property>
</Properties>
</file>