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 w:eastAsia="zh-Hans"/>
        </w:rPr>
      </w:pP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 w:eastAsia="zh-Hans"/>
        </w:rPr>
        <w:t>附件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rFonts w:hint="default"/>
          <w:lang w:val="en-US"/>
        </w:rPr>
      </w:pP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 w:eastAsia="zh-Hans"/>
        </w:rPr>
        <w:t>水城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/>
        </w:rPr>
        <w:t>海螺盘江水泥有限责任公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司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日产</w:t>
      </w:r>
      <w:r>
        <w:rPr>
          <w:rStyle w:val="5"/>
          <w:rFonts w:hint="default"/>
          <w:b w:val="0"/>
          <w:bCs w:val="0"/>
          <w:i w:val="0"/>
          <w:iCs w:val="0"/>
          <w:smallCaps w:val="0"/>
          <w:strike w:val="0"/>
          <w:color w:val="000000" w:themeColor="text1"/>
          <w14:textFill>
            <w14:solidFill>
              <w14:schemeClr w14:val="tx1"/>
            </w14:solidFill>
          </w14:textFill>
        </w:rPr>
        <w:t>6000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吨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水泥熟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/>
        </w:rPr>
        <w:t>料</w:t>
      </w:r>
      <w:r>
        <w:rPr>
          <w:rStyle w:val="5"/>
          <w:rFonts w:hint="eastAsia"/>
          <w:b w:val="0"/>
          <w:bCs w:val="0"/>
          <w:i w:val="0"/>
          <w:iCs w:val="0"/>
          <w:smallCaps w:val="0"/>
          <w:strike w:val="0"/>
          <w:lang w:val="en-US" w:eastAsia="zh-Hans"/>
        </w:rPr>
        <w:t>生产线技改升级项目产能置换方案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5"/>
        <w:gridCol w:w="3025"/>
        <w:gridCol w:w="2436"/>
        <w:gridCol w:w="2456"/>
        <w:gridCol w:w="2062"/>
        <w:gridCol w:w="3332"/>
      </w:tblGrid>
      <w:tr>
        <w:trPr>
          <w:trHeight w:val="58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"/>
                <w:sz w:val="20"/>
                <w:szCs w:val="20"/>
                <w:lang w:val="en-US" w:eastAsia="zh-Hans"/>
              </w:rPr>
              <w:t>建设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"/>
                <w:sz w:val="20"/>
                <w:szCs w:val="20"/>
              </w:rPr>
              <w:t>情况</w:t>
            </w:r>
          </w:p>
        </w:tc>
      </w:tr>
      <w:tr>
        <w:trPr>
          <w:trHeight w:val="584" w:hRule="atLeast"/>
          <w:jc w:val="center"/>
        </w:trPr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84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转入产能整合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rPr>
          <w:trHeight w:val="584" w:hRule="atLeast"/>
          <w:jc w:val="center"/>
        </w:trPr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水城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海螺盘江水泥有限责任公司</w:t>
            </w:r>
          </w:p>
        </w:tc>
        <w:tc>
          <w:tcPr>
            <w:tcW w:w="2384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吨新型干法水泥熟料生产线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贵州省六盘水市水城区老鹰山镇石河村群星组</w:t>
            </w:r>
          </w:p>
        </w:tc>
      </w:tr>
      <w:tr>
        <w:trPr>
          <w:trHeight w:val="584" w:hRule="atLeast"/>
          <w:jc w:val="center"/>
        </w:trPr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拟建主体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设备（生产线）名称、规格型号及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设计产能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转入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指标产能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投产时间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置换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</w:tr>
      <w:tr>
        <w:trPr>
          <w:trHeight w:val="584" w:hRule="atLeast"/>
          <w:jc w:val="center"/>
        </w:trPr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1*Ф4.6/5.2*72m回转窑（变径窑）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1.5:1</w:t>
            </w:r>
          </w:p>
        </w:tc>
      </w:tr>
      <w:tr>
        <w:trPr>
          <w:trHeight w:val="584" w:hRule="atLeast"/>
          <w:jc w:val="center"/>
        </w:trPr>
        <w:tc>
          <w:tcPr>
            <w:tcW w:w="14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6000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吨水泥熟料生产线技改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水城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盘江水泥有限责任公司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1#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熟料生产线和2#日产3000吨熟料生产线整合升级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升级所需日产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2000吨产能指标，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由水城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海螺盘江水泥有限责任公司2#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熟料生产线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比例减量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置换转入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rPr>
          <w:trHeight w:val="58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"/>
                <w:sz w:val="20"/>
                <w:szCs w:val="20"/>
                <w:lang w:val="en-US" w:eastAsia="zh-Hans"/>
              </w:rPr>
              <w:t>出让产能情况</w:t>
            </w:r>
          </w:p>
        </w:tc>
      </w:tr>
      <w:tr>
        <w:trPr>
          <w:trHeight w:val="584" w:hRule="atLeast"/>
          <w:jc w:val="center"/>
        </w:trPr>
        <w:tc>
          <w:tcPr>
            <w:tcW w:w="43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项目地址</w:t>
            </w:r>
            <w:bookmarkStart w:id="0" w:name="_GoBack"/>
            <w:bookmarkEnd w:id="0"/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或核准文件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生产许可证号（有效期）</w:t>
            </w:r>
          </w:p>
        </w:tc>
      </w:tr>
      <w:tr>
        <w:trPr>
          <w:trHeight w:val="584" w:hRule="atLeast"/>
          <w:jc w:val="center"/>
        </w:trPr>
        <w:tc>
          <w:tcPr>
            <w:tcW w:w="43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水城海螺盘江水泥有限责任公司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贵州省六盘水市水城区老鹰山镇石河村群星组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91520221094498275C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黔发改工业〔2009〕2225号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（黔）XK08-001-00047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（有效期至2027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trHeight w:val="584" w:hRule="atLeast"/>
          <w:jc w:val="center"/>
        </w:trPr>
        <w:tc>
          <w:tcPr>
            <w:tcW w:w="43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主体设备（生产线）名称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规格型号及数量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备案或核准文件设计产能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实际产能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核定产能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用于本项目置换产能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（t/d）</w:t>
            </w:r>
          </w:p>
        </w:tc>
      </w:tr>
      <w:tr>
        <w:trPr>
          <w:trHeight w:val="584" w:hRule="atLeast"/>
          <w:jc w:val="center"/>
        </w:trPr>
        <w:tc>
          <w:tcPr>
            <w:tcW w:w="43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1*Ф4.3*64m回转窑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rPr>
          <w:trHeight w:val="584" w:hRule="atLeast"/>
          <w:jc w:val="center"/>
        </w:trPr>
        <w:tc>
          <w:tcPr>
            <w:tcW w:w="437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是否享受奖补资金和政策支持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产能指标是否重复使用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排污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（有效期）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before="43" w:line="220" w:lineRule="auto"/>
              <w:ind w:left="606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关停时间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before="53" w:line="219" w:lineRule="auto"/>
              <w:ind w:left="949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拆除退出时间</w:t>
            </w:r>
          </w:p>
        </w:tc>
      </w:tr>
      <w:tr>
        <w:trPr>
          <w:trHeight w:val="660" w:hRule="atLeast"/>
          <w:jc w:val="center"/>
        </w:trPr>
        <w:tc>
          <w:tcPr>
            <w:tcW w:w="437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91520221094498275C001P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（有效期至2025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项目投产后一年内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notePr>
        <w:numFmt w:val="decimal"/>
      </w:footnotePr>
      <w:pgSz w:w="16834" w:h="11909" w:orient="landscape"/>
      <w:pgMar w:top="1134" w:right="1134" w:bottom="1134" w:left="1134" w:header="1319" w:footer="958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YzNjBkOTgyNWQ1YTMxYzM3MzMwNWFiODNmOWIzYWMifQ=="/>
  </w:docVars>
  <w:rsids>
    <w:rsidRoot w:val="00000000"/>
    <w:rsid w:val="067746BC"/>
    <w:rsid w:val="0B955598"/>
    <w:rsid w:val="0EA93835"/>
    <w:rsid w:val="13F84916"/>
    <w:rsid w:val="16300397"/>
    <w:rsid w:val="16985F3D"/>
    <w:rsid w:val="185B56FB"/>
    <w:rsid w:val="18F338FE"/>
    <w:rsid w:val="200D799B"/>
    <w:rsid w:val="237D89A6"/>
    <w:rsid w:val="278761E1"/>
    <w:rsid w:val="297E051F"/>
    <w:rsid w:val="2ACB3B4E"/>
    <w:rsid w:val="2CDB478A"/>
    <w:rsid w:val="2E852ACB"/>
    <w:rsid w:val="2E905A1F"/>
    <w:rsid w:val="2F5B9CF0"/>
    <w:rsid w:val="30E96F34"/>
    <w:rsid w:val="31CC4FC0"/>
    <w:rsid w:val="31D57AB5"/>
    <w:rsid w:val="3B4E14F1"/>
    <w:rsid w:val="3BB80364"/>
    <w:rsid w:val="3C090CEB"/>
    <w:rsid w:val="3DF7BB43"/>
    <w:rsid w:val="3FA4132B"/>
    <w:rsid w:val="4099573F"/>
    <w:rsid w:val="40B27D42"/>
    <w:rsid w:val="41202C33"/>
    <w:rsid w:val="44004F9E"/>
    <w:rsid w:val="460F3276"/>
    <w:rsid w:val="46610588"/>
    <w:rsid w:val="480B0084"/>
    <w:rsid w:val="4A653DAC"/>
    <w:rsid w:val="4DE4279B"/>
    <w:rsid w:val="51A36C20"/>
    <w:rsid w:val="51E8779D"/>
    <w:rsid w:val="550F24BB"/>
    <w:rsid w:val="552D5683"/>
    <w:rsid w:val="557B0928"/>
    <w:rsid w:val="5B1F55B7"/>
    <w:rsid w:val="5CB84210"/>
    <w:rsid w:val="5E62D6A3"/>
    <w:rsid w:val="67FF12C5"/>
    <w:rsid w:val="6AF74155"/>
    <w:rsid w:val="6D353EF6"/>
    <w:rsid w:val="6DB71BEA"/>
    <w:rsid w:val="72CF49CD"/>
    <w:rsid w:val="730D6C0C"/>
    <w:rsid w:val="79FFC88A"/>
    <w:rsid w:val="7F4EA0C0"/>
    <w:rsid w:val="7FA7599C"/>
    <w:rsid w:val="7FB421BD"/>
    <w:rsid w:val="7FC2234D"/>
    <w:rsid w:val="7FF6725C"/>
    <w:rsid w:val="BEFF4239"/>
    <w:rsid w:val="C2F6D4A8"/>
    <w:rsid w:val="CEFBE3C9"/>
    <w:rsid w:val="CF9D7176"/>
    <w:rsid w:val="D712DCEB"/>
    <w:rsid w:val="DE95E5D7"/>
    <w:rsid w:val="E5BFE84B"/>
    <w:rsid w:val="E9DD427C"/>
    <w:rsid w:val="ED3C32A6"/>
    <w:rsid w:val="EFEED6A0"/>
    <w:rsid w:val="F3ED9B11"/>
    <w:rsid w:val="F73BB851"/>
    <w:rsid w:val="F7CE04F5"/>
    <w:rsid w:val="FBD9D86D"/>
    <w:rsid w:val="FBFFDF96"/>
    <w:rsid w:val="FFFA2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">
    <w:name w:val="Char Style 3"/>
    <w:basedOn w:val="4"/>
    <w:link w:val="6"/>
    <w:qFormat/>
    <w:uiPriority w:val="0"/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6">
    <w:name w:val="Style 2"/>
    <w:basedOn w:val="1"/>
    <w:link w:val="5"/>
    <w:qFormat/>
    <w:uiPriority w:val="0"/>
    <w:pPr>
      <w:widowControl w:val="0"/>
      <w:shd w:val="clear" w:color="auto" w:fill="auto"/>
      <w:spacing w:after="220"/>
      <w:ind w:firstLine="110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character" w:customStyle="1" w:styleId="7">
    <w:name w:val="Char Style 6"/>
    <w:basedOn w:val="4"/>
    <w:link w:val="8"/>
    <w:qFormat/>
    <w:uiPriority w:val="0"/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paragraph" w:customStyle="1" w:styleId="8">
    <w:name w:val="Style 5"/>
    <w:basedOn w:val="1"/>
    <w:link w:val="7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803</Words>
  <Characters>962</Characters>
  <TotalTime>7</TotalTime>
  <ScaleCrop>false</ScaleCrop>
  <LinksUpToDate>false</LinksUpToDate>
  <CharactersWithSpaces>963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2024-07-21T09:51:00Z</dcterms:created>
  <dc:creator>Administrator</dc:creator>
  <cp:lastModifiedBy>lanfeng87</cp:lastModifiedBy>
  <cp:lastPrinted>2025-12-25T11:18:02Z</cp:lastPrinted>
  <dcterms:modified xsi:type="dcterms:W3CDTF">2025-12-25T11:18:22Z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985379EEC5B948219A1A3ABF38F6EB15_12</vt:lpwstr>
  </property>
</Properties>
</file>