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280" w:lineRule="exact"/>
        <w:ind w:firstLine="302" w:firstLineChars="100"/>
        <w:rPr>
          <w:rFonts w:hint="eastAsia" w:ascii="SimHei" w:hAnsi="SimHei" w:eastAsia="SimHei" w:cs="SimHei"/>
          <w:spacing w:val="-4"/>
          <w:sz w:val="31"/>
          <w:szCs w:val="31"/>
          <w:lang w:eastAsia="zh-CN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hint="eastAsia" w:ascii="SimHei" w:hAnsi="SimHei" w:eastAsia="SimHei" w:cs="SimHei"/>
          <w:spacing w:val="-4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280" w:lineRule="exact"/>
        <w:ind w:firstLine="326" w:firstLineChars="100"/>
        <w:jc w:val="center"/>
        <w:rPr>
          <w:rFonts w:hint="eastAsia" w:ascii="SimHei" w:hAnsi="SimHei" w:eastAsia="SimHei" w:cs="SimHei"/>
          <w:spacing w:val="8"/>
          <w:position w:val="1"/>
          <w:sz w:val="31"/>
          <w:szCs w:val="31"/>
          <w:lang w:eastAsia="zh-CN"/>
        </w:rPr>
      </w:pPr>
      <w:r>
        <w:rPr>
          <w:rFonts w:hint="eastAsia" w:ascii="SimHei" w:hAnsi="SimHei" w:eastAsia="SimHei" w:cs="SimHei"/>
          <w:spacing w:val="8"/>
          <w:position w:val="1"/>
          <w:sz w:val="31"/>
          <w:szCs w:val="31"/>
          <w:lang w:eastAsia="zh-CN"/>
        </w:rPr>
        <w:t>贵州豪龙水泥有限公司日产3000吨熟料新型干法水泥生产线产能转出方案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2790"/>
        <w:gridCol w:w="2790"/>
        <w:gridCol w:w="2430"/>
        <w:gridCol w:w="1005"/>
        <w:gridCol w:w="2100"/>
        <w:gridCol w:w="2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地址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备案或核准文件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生产许可证号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贵州豪龙水泥有限公司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  <w:t>贵州省黔南布依族苗族自治州惠水县高镇镇赤土村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91522731795289548M</w:t>
            </w:r>
          </w:p>
        </w:tc>
        <w:tc>
          <w:tcPr>
            <w:tcW w:w="10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黔发改工业〔2005〕342号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黔发改工业〔2006〕1609号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（黔）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XK08-001-00066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有效期至2028年8月27日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主体设备规格型号及数量</w:t>
            </w:r>
          </w:p>
        </w:tc>
        <w:tc>
          <w:tcPr>
            <w:tcW w:w="28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备案或核准文件设计产能（t/d）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用于本项目置换产能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（t/d）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  <w:t>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4.3×66m回转窑1台</w:t>
            </w:r>
          </w:p>
        </w:tc>
        <w:tc>
          <w:tcPr>
            <w:tcW w:w="28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3000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是否享受奖补资金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产能是否重复使用</w:t>
            </w:r>
          </w:p>
        </w:tc>
        <w:tc>
          <w:tcPr>
            <w:tcW w:w="1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排污许可证号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（有效期）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计划关停时间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计划拆除退出时间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（新线点火投产前）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否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否</w:t>
            </w:r>
          </w:p>
        </w:tc>
        <w:tc>
          <w:tcPr>
            <w:tcW w:w="1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91522731795289548M001P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有效期至2025年12月20日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2024年12月31日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  <w:t>年12月31日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拟建项目情况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浙江豪龙建材有限公司</w:t>
            </w:r>
          </w:p>
        </w:tc>
        <w:tc>
          <w:tcPr>
            <w:tcW w:w="28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日产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5500吨熟料新型干法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生产线补充产能项目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浙江省衢州市衢江区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上方镇立模村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主体设备规格型号及数量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设计产能（t/d）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置换产能（t/d）</w:t>
            </w:r>
          </w:p>
        </w:tc>
        <w:tc>
          <w:tcPr>
            <w:tcW w:w="10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计划点火投产时间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  <w:t>Φ4.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</w:rPr>
              <w:t>m回转窑1台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5500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1500</w:t>
            </w:r>
          </w:p>
        </w:tc>
        <w:tc>
          <w:tcPr>
            <w:tcW w:w="10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val="en-US" w:eastAsia="zh-CN"/>
              </w:rPr>
              <w:t>2:1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已投产，非新建项目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3"/>
                <w:szCs w:val="23"/>
                <w:u w:val="none"/>
                <w:lang w:eastAsia="zh-CN"/>
              </w:rPr>
              <w:t>（合规化补充产能）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0" w:lineRule="exact"/>
        <w:ind w:right="40"/>
        <w:textAlignment w:val="baseline"/>
        <w:rPr>
          <w:rFonts w:ascii="FangSong" w:hAnsi="FangSong" w:eastAsia="FangSong" w:cs="FangSong"/>
          <w:sz w:val="31"/>
          <w:szCs w:val="31"/>
        </w:rPr>
      </w:pPr>
    </w:p>
    <w:sectPr>
      <w:footerReference r:id="rId5" w:type="default"/>
      <w:pgSz w:w="16839" w:h="11906" w:orient="landscape"/>
      <w:pgMar w:top="1785" w:right="1431" w:bottom="1785" w:left="1156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2ADDCFDD"/>
    <w:rsid w:val="3F5F79E6"/>
    <w:rsid w:val="3FBDA25D"/>
    <w:rsid w:val="73CFAF42"/>
    <w:rsid w:val="758E2EC8"/>
    <w:rsid w:val="7BFF0641"/>
    <w:rsid w:val="7DF7C6E2"/>
    <w:rsid w:val="7EA7C483"/>
    <w:rsid w:val="7FEF575F"/>
    <w:rsid w:val="BB7ECCFB"/>
    <w:rsid w:val="BFB63000"/>
    <w:rsid w:val="DEFFAF8B"/>
    <w:rsid w:val="DFC1E619"/>
    <w:rsid w:val="DFF9761D"/>
    <w:rsid w:val="F9FA2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" w:hAnsi="FangSong" w:eastAsia="FangSong" w:cs="FangSong"/>
      <w:sz w:val="20"/>
      <w:szCs w:val="20"/>
      <w:lang w:val="en-US" w:eastAsia="en-US" w:bidi="ar-SA"/>
    </w:rPr>
  </w:style>
  <w:style w:type="paragraph" w:customStyle="1" w:styleId="9">
    <w:name w:val="Table Paragraph"/>
    <w:basedOn w:val="1"/>
    <w:qFormat/>
    <w:uiPriority w:val="0"/>
    <w:pPr>
      <w:jc w:val="center"/>
    </w:pPr>
    <w:rPr>
      <w:rFonts w:asci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393</Words>
  <Characters>512</Characters>
  <TotalTime>68</TotalTime>
  <ScaleCrop>false</ScaleCrop>
  <LinksUpToDate>false</LinksUpToDate>
  <CharactersWithSpaces>512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2024-11-02T08:29:00Z</dcterms:created>
  <dc:creator>刘权</dc:creator>
  <cp:lastModifiedBy>ysgz</cp:lastModifiedBy>
  <dcterms:modified xsi:type="dcterms:W3CDTF">2025-01-17T10:35:24Z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2024-11-26T11:03:35Z</vt:filetime>
  </property>
  <property fmtid="{D5CDD505-2E9C-101B-9397-08002B2CF9AE}" pid="4" name="KSOProductBuildVer">
    <vt:lpwstr>2052-11.8.2.10422</vt:lpwstr>
  </property>
</Properties>
</file>