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jc w:val="both"/>
        <w:textAlignment w:val="auto"/>
        <w:outlineLvl w:val="9"/>
        <w:rPr>
          <w:rFonts w:hint="eastAsia" w:ascii="方正黑体_GBK" w:hAnsi="方正黑体_GBK" w:eastAsia="方正黑体_GBK" w:cs="方正黑体_GBK"/>
          <w:color w:val="000000" w:themeColor="text1"/>
          <w:spacing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pacing w:val="0"/>
          <w:sz w:val="32"/>
          <w:szCs w:val="32"/>
          <w:lang w:val="en-US" w:eastAsia="zh-CN"/>
          <w14:textFill>
            <w14:solidFill>
              <w14:schemeClr w14:val="tx1"/>
            </w14:solidFill>
          </w14:textFill>
        </w:rPr>
        <w:t>附件</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color w:val="000000" w:themeColor="text1"/>
          <w:lang w:val="en-US" w:eastAsia="zh-CN"/>
          <w14:textFill>
            <w14:solidFill>
              <w14:schemeClr w14:val="tx1"/>
            </w14:solidFill>
          </w14:textFill>
        </w:rPr>
      </w:pP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jc w:val="center"/>
        <w:textAlignment w:val="auto"/>
        <w:outlineLvl w:val="9"/>
        <w:rPr>
          <w:rFonts w:hint="default" w:ascii="Times New Roman" w:hAnsi="Times New Roman" w:eastAsia="方正小标宋简体" w:cs="Times New Roman"/>
          <w:color w:val="000000" w:themeColor="text1"/>
          <w:spacing w:val="0"/>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spacing w:val="0"/>
          <w:sz w:val="44"/>
          <w:szCs w:val="44"/>
          <w:lang w:val="en-US" w:eastAsia="zh-CN"/>
          <w14:textFill>
            <w14:solidFill>
              <w14:schemeClr w14:val="tx1"/>
            </w14:solidFill>
          </w14:textFill>
        </w:rPr>
        <w:t>省新型工业化</w:t>
      </w:r>
      <w:r>
        <w:rPr>
          <w:rFonts w:hint="eastAsia" w:ascii="Times New Roman" w:hAnsi="Times New Roman" w:eastAsia="方正小标宋简体" w:cs="Times New Roman"/>
          <w:color w:val="000000" w:themeColor="text1"/>
          <w:spacing w:val="0"/>
          <w:sz w:val="44"/>
          <w:szCs w:val="44"/>
          <w:lang w:val="en-US" w:eastAsia="zh-CN"/>
          <w14:textFill>
            <w14:solidFill>
              <w14:schemeClr w14:val="tx1"/>
            </w14:solidFill>
          </w14:textFill>
        </w:rPr>
        <w:t>工作</w:t>
      </w:r>
      <w:r>
        <w:rPr>
          <w:rFonts w:hint="default" w:ascii="Times New Roman" w:hAnsi="Times New Roman" w:eastAsia="方正小标宋简体" w:cs="Times New Roman"/>
          <w:color w:val="000000" w:themeColor="text1"/>
          <w:spacing w:val="0"/>
          <w:sz w:val="44"/>
          <w:szCs w:val="44"/>
          <w:lang w:val="en-US" w:eastAsia="zh-CN"/>
          <w14:textFill>
            <w14:solidFill>
              <w14:schemeClr w14:val="tx1"/>
            </w14:solidFill>
          </w14:textFill>
        </w:rPr>
        <w:t>领导小组办公室关于</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jc w:val="center"/>
        <w:textAlignment w:val="auto"/>
        <w:outlineLvl w:val="9"/>
        <w:rPr>
          <w:rFonts w:hint="default" w:ascii="Times New Roman" w:hAnsi="Times New Roman" w:eastAsia="方正小标宋简体" w:cs="Times New Roman"/>
          <w:color w:val="000000" w:themeColor="text1"/>
          <w:spacing w:val="0"/>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spacing w:val="0"/>
          <w:sz w:val="44"/>
          <w:szCs w:val="44"/>
          <w:lang w:val="en-US" w:eastAsia="zh-CN"/>
          <w14:textFill>
            <w14:solidFill>
              <w14:schemeClr w14:val="tx1"/>
            </w14:solidFill>
          </w14:textFill>
        </w:rPr>
        <w:t>推动县域工业经济高质量发展</w:t>
      </w:r>
      <w:r>
        <w:rPr>
          <w:rFonts w:hint="eastAsia" w:ascii="Times New Roman" w:hAnsi="Times New Roman" w:eastAsia="方正小标宋简体" w:cs="Times New Roman"/>
          <w:color w:val="000000" w:themeColor="text1"/>
          <w:spacing w:val="0"/>
          <w:sz w:val="44"/>
          <w:szCs w:val="44"/>
          <w:lang w:val="en-US" w:eastAsia="zh-CN"/>
          <w14:textFill>
            <w14:solidFill>
              <w14:schemeClr w14:val="tx1"/>
            </w14:solidFill>
          </w14:textFill>
        </w:rPr>
        <w:t>实施方案</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jc w:val="center"/>
        <w:textAlignment w:val="auto"/>
        <w:outlineLvl w:val="9"/>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t>（征求意见稿）</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jc w:val="both"/>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县域工业是县域经济</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发展</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的</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重要推动力量</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落实全省县域经济高质量发展大会精神，</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促进县域工业</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特色化、</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差异化</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集群化发展，推动全省县域工业提质增量，</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奋力实现工业大突破，</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夯实县域经济高质量发展基础，特</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制定</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本</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方案</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1"/>
        <w:rPr>
          <w:rFonts w:hint="eastAsia" w:ascii="方正黑体_GBK" w:hAnsi="方正黑体_GBK" w:eastAsia="方正黑体_GBK" w:cs="方正黑体_GBK"/>
          <w:color w:val="000000" w:themeColor="text1"/>
          <w:sz w:val="32"/>
          <w:szCs w:val="32"/>
          <w:highlight w:val="none"/>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lang w:val="en-US" w:eastAsia="zh-CN"/>
          <w14:textFill>
            <w14:solidFill>
              <w14:schemeClr w14:val="tx1"/>
            </w14:solidFill>
          </w14:textFill>
        </w:rPr>
        <w:t>一、发展目标</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本方案中的县域范围为全省除市辖区外的72个县（市、特区，以下统称县）。</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到2027年，县域</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工业发展实现以下目标：</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工业占比持续提升。</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全省县域工业经济整体实力明显增强，县域工业增加值占</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全省工业增加值</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比重达</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70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左右</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建设一批工业强县，</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新增</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个工业增加值破百亿的县</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产业集群效益凸显。</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“六大产业基地”建设</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成效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加速释放</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主导</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产业集群快速发展，力争打造</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个</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国家级中小企业特色产业集群和30个</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省级</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中小企业特色产业集群</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企业实力不断增强。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县域</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工业经营主体数量稳步增长，</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龙头企业发展持续</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壮大</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累计新增规模以上工业企业1200户、省级专精特新企业400户。</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楷体_GB2312" w:hAnsi="楷体_GB2312" w:eastAsia="楷体_GB2312" w:cs="楷体_GB2312"/>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辐射带动能效升级。</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县域工业带动能力明显增强，工业带动一产、三产同步发展，县域经济综合实力不断升级，有效促进人民群众生活品质提升。</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0"/>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二、</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重点任务</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1"/>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t>（一）推进“六大产业基地”建设</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1.推动全国重要的资源精深加工基地建设。</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坚持“富矿精开”，聚焦磷、煤、铝、锰、黄金</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、重晶石、萤石、石英砂</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等</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矿产资源优势</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着力构建“1+3+5”产业发展格局，支持矿产资源富集县发展壮大资源精深加工产业。支持开阳、息烽、瓮安、福泉、织金等加快建设国内重要的磷及磷化工产业生产供应基地。支持六枝、盘州、黔西、织金等加快建设煤化工产业生产供应基地。支持清镇、兴仁等加快建设铝及铝加工产业集群。支持桐梓等加快建设钛及钛加工产业集群。支持玉屏、松桃等加快建设锰及锰加工产业集群。支持镇宁、天柱、务川等加快建设氟钡产业集群。支持安龙、罗甸、思南等加快建设饰面装饰石材产业集群。支持凯里、丹寨等加快建设硅精深加工产业集群。</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2.推动</w:t>
      </w:r>
      <w:r>
        <w:rPr>
          <w:rFonts w:hint="default" w:ascii="Times New Roman" w:hAnsi="Times New Roman" w:eastAsia="黑体" w:cs="Times New Roman"/>
          <w:color w:val="000000" w:themeColor="text1"/>
          <w:sz w:val="32"/>
          <w:szCs w:val="32"/>
          <w:highlight w:val="none"/>
          <w14:textFill>
            <w14:solidFill>
              <w14:schemeClr w14:val="tx1"/>
            </w14:solidFill>
          </w14:textFill>
        </w:rPr>
        <w:t>新能源动力电池及材料研发生产基地</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建设。</w:t>
      </w:r>
      <w:r>
        <w:rPr>
          <w:rFonts w:hint="default" w:ascii="Times New Roman" w:hAnsi="Times New Roman" w:eastAsia="仿宋_GB2312" w:cs="Times New Roman"/>
          <w:color w:val="000000"/>
          <w:sz w:val="32"/>
          <w:szCs w:val="32"/>
          <w:highlight w:val="none"/>
          <w:shd w:val="clear" w:color="auto" w:fill="FFFFFF"/>
          <w:lang w:val="en-US" w:eastAsia="zh-CN"/>
        </w:rPr>
        <w:t>围</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绕“一核两区”</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规划</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布局，</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加快建设成为</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国内重要的新能源动力电池及材料研发生产基地。支持</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开阳、息烽、瓮安、福泉等县域</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重点发展</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磷系</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电池材料</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；支持玉屏、兴义、安龙等县域重点发展三元正极材料及钠离子电池正极材料；支持息烽、玉屏、镇远等重点县域发展电解液、废旧电池回收等新能源电池及材料配套产业。</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鼓励</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县域</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加快新能源汽车推广应用，</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全力</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推进“电动贵州”建设。</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3.推动</w:t>
      </w:r>
      <w:r>
        <w:rPr>
          <w:rFonts w:hint="default" w:ascii="Times New Roman" w:hAnsi="Times New Roman" w:eastAsia="黑体" w:cs="Times New Roman"/>
          <w:color w:val="000000" w:themeColor="text1"/>
          <w:sz w:val="32"/>
          <w:szCs w:val="32"/>
          <w:highlight w:val="none"/>
          <w14:textFill>
            <w14:solidFill>
              <w14:schemeClr w14:val="tx1"/>
            </w14:solidFill>
          </w14:textFill>
        </w:rPr>
        <w:t>面向全国的算力保障基地</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建设。</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支持县域加快网络基础设施规划和建设，</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发展算力保障基地相关产业、智能终端制造上下游产业，推动数据赋能产业发展，促进大数据与实体经济深度融合。鼓励</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县域主动融入</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长三角、粤港澳、成渝等算力枢纽节点</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布局</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，围绕文旅、白酒等行业打造一批大模型示范应用场景。</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4.推动</w:t>
      </w:r>
      <w:r>
        <w:rPr>
          <w:rFonts w:hint="default" w:ascii="Times New Roman" w:hAnsi="Times New Roman" w:eastAsia="黑体" w:cs="Times New Roman"/>
          <w:color w:val="000000" w:themeColor="text1"/>
          <w:sz w:val="32"/>
          <w:szCs w:val="32"/>
          <w:highlight w:val="none"/>
          <w14:textFill>
            <w14:solidFill>
              <w14:schemeClr w14:val="tx1"/>
            </w14:solidFill>
          </w14:textFill>
        </w:rPr>
        <w:t>全国重要的白酒生产基地</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建设。</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按照</w:t>
      </w: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“四区多点”</w:t>
      </w:r>
      <w:r>
        <w:rPr>
          <w:rFonts w:hint="eastAsia"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产区规划</w:t>
      </w: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布局</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，深入实施白酒产业综合</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整治</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，推动仁怀、习水、金沙、赤水</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、桐梓</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等酱香白酒</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产业</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集聚集群发展，加快推进重点酒企技改扩能项目建设，壮大以优强企业</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引领</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的贵州白酒企业舰队</w:t>
      </w:r>
      <w:r>
        <w:rPr>
          <w:rFonts w:hint="eastAsia" w:ascii="Times New Roman" w:hAnsi="Times New Roman" w:eastAsia="仿宋_GB2312" w:cs="Times New Roman"/>
          <w:color w:val="000000" w:themeColor="text1"/>
          <w:w w:val="95"/>
          <w:sz w:val="32"/>
          <w:szCs w:val="32"/>
          <w:shd w:val="clear" w:color="auto" w:fill="FFFFFF"/>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持续开展“多彩贵州风黔酒中国行”“中国（贵州）国际酒类博览会”等大型宣传推介活动，助力省内酒企“走出去”。</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对扩能</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5000</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千升以上的白酒项目新增用地指标由省级统筹保障。</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5.</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推动新型综合能源基地建设。</w:t>
      </w: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大力推进</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煤炭产业结构战略性调整</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鼓励</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县域</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着力提升煤炭产业集中度，加快推进智能煤矿建设。</w:t>
      </w:r>
      <w:r>
        <w:rPr>
          <w:rFonts w:hint="default" w:ascii="Times New Roman" w:hAnsi="Times New Roman" w:eastAsia="仿宋_GB2312" w:cs="Times New Roman"/>
          <w:i w:val="0"/>
          <w:iCs w:val="0"/>
          <w:caps w:val="0"/>
          <w:color w:val="000000" w:themeColor="text1"/>
          <w:spacing w:val="0"/>
          <w:sz w:val="32"/>
          <w:szCs w:val="32"/>
          <w:shd w:val="clear" w:color="auto" w:fill="FFFFFF"/>
          <w14:textFill>
            <w14:solidFill>
              <w14:schemeClr w14:val="tx1"/>
            </w14:solidFill>
          </w14:textFill>
        </w:rPr>
        <w:t>省级新增煤电指标及项目优先在煤炭资源富集</w:t>
      </w:r>
      <w:r>
        <w:rPr>
          <w:rFonts w:hint="default" w:ascii="Times New Roman" w:hAnsi="Times New Roman" w:eastAsia="仿宋_GB2312" w:cs="Times New Roman"/>
          <w:i w:val="0"/>
          <w:iCs w:val="0"/>
          <w:caps w:val="0"/>
          <w:color w:val="000000" w:themeColor="text1"/>
          <w:spacing w:val="0"/>
          <w:sz w:val="32"/>
          <w:szCs w:val="32"/>
          <w:shd w:val="clear" w:color="auto" w:fill="FFFFFF"/>
          <w:lang w:eastAsia="zh-CN"/>
          <w14:textFill>
            <w14:solidFill>
              <w14:schemeClr w14:val="tx1"/>
            </w14:solidFill>
          </w14:textFill>
        </w:rPr>
        <w:t>的</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县域</w:t>
      </w:r>
      <w:r>
        <w:rPr>
          <w:rFonts w:hint="default" w:ascii="Times New Roman" w:hAnsi="Times New Roman" w:eastAsia="仿宋_GB2312" w:cs="Times New Roman"/>
          <w:i w:val="0"/>
          <w:iCs w:val="0"/>
          <w:caps w:val="0"/>
          <w:color w:val="000000" w:themeColor="text1"/>
          <w:spacing w:val="0"/>
          <w:sz w:val="32"/>
          <w:szCs w:val="32"/>
          <w:shd w:val="clear" w:color="auto" w:fill="FFFFFF"/>
          <w14:textFill>
            <w14:solidFill>
              <w14:schemeClr w14:val="tx1"/>
            </w14:solidFill>
          </w14:textFill>
        </w:rPr>
        <w:t>布局，支持盘州、金沙、晴隆等加快露天煤矿建设。</w:t>
      </w:r>
      <w:r>
        <w:rPr>
          <w:rFonts w:hint="default" w:ascii="Times New Roman" w:hAnsi="Times New Roman" w:eastAsia="仿宋_GB2312" w:cs="Times New Roman"/>
          <w:i w:val="0"/>
          <w:iCs w:val="0"/>
          <w:caps w:val="0"/>
          <w:color w:val="000000" w:themeColor="text1"/>
          <w:spacing w:val="0"/>
          <w:sz w:val="32"/>
          <w:szCs w:val="32"/>
          <w:shd w:val="clear" w:color="auto" w:fill="FFFFFF"/>
          <w:lang w:eastAsia="zh-CN"/>
          <w14:textFill>
            <w14:solidFill>
              <w14:schemeClr w14:val="tx1"/>
            </w14:solidFill>
          </w14:textFill>
        </w:rPr>
        <w:t>支持</w:t>
      </w:r>
      <w:r>
        <w:rPr>
          <w:rFonts w:hint="default" w:ascii="Times New Roman" w:hAnsi="Times New Roman" w:eastAsia="仿宋_GB2312" w:cs="Times New Roman"/>
          <w:i w:val="0"/>
          <w:iCs w:val="0"/>
          <w:caps w:val="0"/>
          <w:color w:val="000000" w:themeColor="text1"/>
          <w:spacing w:val="0"/>
          <w:sz w:val="32"/>
          <w:szCs w:val="32"/>
          <w:shd w:val="clear" w:color="auto" w:fill="FFFFFF"/>
          <w14:textFill>
            <w14:solidFill>
              <w14:schemeClr w14:val="tx1"/>
            </w14:solidFill>
          </w14:textFill>
        </w:rPr>
        <w:t>织金、</w:t>
      </w:r>
      <w:r>
        <w:rPr>
          <w:rFonts w:hint="default" w:ascii="Times New Roman" w:hAnsi="Times New Roman" w:eastAsia="仿宋_GB2312" w:cs="Times New Roman"/>
          <w:i w:val="0"/>
          <w:iCs w:val="0"/>
          <w:caps w:val="0"/>
          <w:color w:val="000000" w:themeColor="text1"/>
          <w:spacing w:val="0"/>
          <w:sz w:val="32"/>
          <w:szCs w:val="32"/>
          <w:shd w:val="clear" w:color="auto" w:fill="FFFFFF"/>
          <w:lang w:eastAsia="zh-CN"/>
          <w14:textFill>
            <w14:solidFill>
              <w14:schemeClr w14:val="tx1"/>
            </w14:solidFill>
          </w14:textFill>
        </w:rPr>
        <w:t>盘</w:t>
      </w:r>
      <w:r>
        <w:rPr>
          <w:rFonts w:hint="default" w:ascii="Times New Roman" w:hAnsi="Times New Roman" w:eastAsia="仿宋_GB2312" w:cs="Times New Roman"/>
          <w:i w:val="0"/>
          <w:iCs w:val="0"/>
          <w:caps w:val="0"/>
          <w:color w:val="000000" w:themeColor="text1"/>
          <w:spacing w:val="0"/>
          <w:sz w:val="32"/>
          <w:szCs w:val="32"/>
          <w:shd w:val="clear" w:color="auto" w:fill="FFFFFF"/>
          <w14:textFill>
            <w14:solidFill>
              <w14:schemeClr w14:val="tx1"/>
            </w14:solidFill>
          </w14:textFill>
        </w:rPr>
        <w:t>州、兴义、兴仁等布局建设省级煤炭储配中心。</w:t>
      </w:r>
      <w:r>
        <w:rPr>
          <w:rFonts w:hint="eastAsia" w:ascii="Times New Roman" w:hAnsi="Times New Roman" w:eastAsia="仿宋_GB2312" w:cs="Times New Roman"/>
          <w:i w:val="0"/>
          <w:iCs w:val="0"/>
          <w:caps w:val="0"/>
          <w:color w:val="000000" w:themeColor="text1"/>
          <w:spacing w:val="0"/>
          <w:sz w:val="32"/>
          <w:szCs w:val="32"/>
          <w:shd w:val="clear" w:color="auto" w:fill="FFFFFF"/>
          <w:lang w:eastAsia="zh-CN"/>
          <w14:textFill>
            <w14:solidFill>
              <w14:schemeClr w14:val="tx1"/>
            </w14:solidFill>
          </w14:textFill>
        </w:rPr>
        <w:t>支持</w:t>
      </w:r>
      <w:r>
        <w:rPr>
          <w:rFonts w:hint="eastAsia" w:ascii="Times New Roman" w:hAnsi="Times New Roman" w:eastAsia="仿宋_GB2312" w:cs="Times New Roman"/>
          <w:i w:val="0"/>
          <w:iCs w:val="0"/>
          <w:caps w:val="0"/>
          <w:color w:val="000000" w:themeColor="text1"/>
          <w:spacing w:val="0"/>
          <w:sz w:val="32"/>
          <w:szCs w:val="32"/>
          <w:shd w:val="clear" w:color="auto" w:fill="FFFFFF"/>
          <w:lang w:val="en-US" w:eastAsia="zh-CN"/>
          <w14:textFill>
            <w14:solidFill>
              <w14:schemeClr w14:val="tx1"/>
            </w14:solidFill>
          </w14:textFill>
        </w:rPr>
        <w:t>盘州、普定、织金、赫章</w:t>
      </w:r>
      <w:r>
        <w:rPr>
          <w:rFonts w:hint="default" w:ascii="Times New Roman" w:hAnsi="Times New Roman" w:eastAsia="仿宋_GB2312" w:cs="Times New Roman"/>
          <w:i w:val="0"/>
          <w:iCs w:val="0"/>
          <w:caps w:val="0"/>
          <w:color w:val="000000" w:themeColor="text1"/>
          <w:spacing w:val="0"/>
          <w:sz w:val="32"/>
          <w:szCs w:val="32"/>
          <w:shd w:val="clear" w:color="auto" w:fill="FFFFFF"/>
          <w14:textFill>
            <w14:solidFill>
              <w14:schemeClr w14:val="tx1"/>
            </w14:solidFill>
          </w14:textFill>
        </w:rPr>
        <w:t>等</w:t>
      </w:r>
      <w:r>
        <w:rPr>
          <w:rFonts w:hint="eastAsia" w:ascii="Times New Roman" w:hAnsi="Times New Roman" w:eastAsia="仿宋_GB2312" w:cs="Times New Roman"/>
          <w:i w:val="0"/>
          <w:iCs w:val="0"/>
          <w:caps w:val="0"/>
          <w:color w:val="000000" w:themeColor="text1"/>
          <w:spacing w:val="0"/>
          <w:sz w:val="32"/>
          <w:szCs w:val="32"/>
          <w:shd w:val="clear" w:color="auto" w:fill="FFFFFF"/>
          <w:lang w:val="en-US" w:eastAsia="zh-CN"/>
          <w14:textFill>
            <w14:solidFill>
              <w14:schemeClr w14:val="tx1"/>
            </w14:solidFill>
          </w14:textFill>
        </w:rPr>
        <w:t>建设火力发电厂，支持关岭、威宁</w:t>
      </w:r>
      <w:r>
        <w:rPr>
          <w:rFonts w:hint="default" w:ascii="Times New Roman" w:hAnsi="Times New Roman" w:eastAsia="仿宋_GB2312" w:cs="Times New Roman"/>
          <w:i w:val="0"/>
          <w:iCs w:val="0"/>
          <w:caps w:val="0"/>
          <w:color w:val="000000" w:themeColor="text1"/>
          <w:spacing w:val="0"/>
          <w:sz w:val="32"/>
          <w:szCs w:val="32"/>
          <w:shd w:val="clear" w:color="auto" w:fill="FFFFFF"/>
          <w14:textFill>
            <w14:solidFill>
              <w14:schemeClr w14:val="tx1"/>
            </w14:solidFill>
          </w14:textFill>
        </w:rPr>
        <w:t>等</w:t>
      </w:r>
      <w:r>
        <w:rPr>
          <w:rFonts w:hint="eastAsia" w:ascii="Times New Roman" w:hAnsi="Times New Roman" w:eastAsia="仿宋_GB2312" w:cs="Times New Roman"/>
          <w:i w:val="0"/>
          <w:iCs w:val="0"/>
          <w:caps w:val="0"/>
          <w:color w:val="000000" w:themeColor="text1"/>
          <w:spacing w:val="0"/>
          <w:sz w:val="32"/>
          <w:szCs w:val="32"/>
          <w:shd w:val="clear" w:color="auto" w:fill="FFFFFF"/>
          <w:lang w:val="en-US" w:eastAsia="zh-CN"/>
          <w14:textFill>
            <w14:solidFill>
              <w14:schemeClr w14:val="tx1"/>
            </w14:solidFill>
          </w14:textFill>
        </w:rPr>
        <w:t>建设风光基地。</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6.推动重点产业备份基地建设。</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充分发挥重点</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县域</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产业基础优势，支持</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绥阳、盘州等</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协同打造先进装备制造产业集群。大力推动航空航天、先进装备、电气机械等产业加大科技攻关、推广应用。统筹省级相关产业基金支持县域</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实施</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产业备份重大项目建设。</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1"/>
        <w:rPr>
          <w:rFonts w:hint="eastAsia" w:ascii="Times New Roman" w:hAnsi="Times New Roman" w:eastAsia="楷体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_GB2312" w:cs="Times New Roman"/>
          <w:color w:val="000000" w:themeColor="text1"/>
          <w:sz w:val="32"/>
          <w:szCs w:val="32"/>
          <w:highlight w:val="none"/>
          <w:lang w:val="en-US" w:eastAsia="zh-CN"/>
          <w14:textFill>
            <w14:solidFill>
              <w14:schemeClr w14:val="tx1"/>
            </w14:solidFill>
          </w14:textFill>
        </w:rPr>
        <w:t>（二）发展壮大县域工业主导产业</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7.推动“一图三清单”落细落实。</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指导各县聚焦资源禀赋、产业基础、发展潜力，选准1—2个工业主导产业，逐一编制完善“一图三清单”即产业链图谱和在建项目、在谈项目、拟招企业清单，厘清重点产业发展思路，通过具体化、清单化、项目化实施，推动“一图三清单”做深做准做实。支持</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工业基础扎实的</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县域</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充分发挥比较优势，推动工业主导产业建链补链延链强链，不断提升县域工业经济质量和总量。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8.加快发展县域特色产业</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。支持湄潭、凤冈、关岭、大方、威宁、思南、江口、凯里、贵定、惠水、普安等发展有传统和特色优势的酸汤、刺梨、辣椒、茶、饮用水、肉制品等生态食品产业；</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支持</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龙里、凯里、剑河等发展</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健康医药</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产业；</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支持</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施秉、台江、三都、荔波等发展</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民族工艺品</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产业；支持三穗、安龙、黔西、纳雍等</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人力资源富集县引进家具、纺织、服装、鞋业、小家电等劳动密集型产业</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，着力培育壮大县域</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特色产业</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9.大力推进重点项目招引落地。</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各县围绕主导产业“一图三清单”，聚焦拟招企业清单，深入洽谈对接，招引落地一批龙头企业、链主企业。省、市对县级重大项目实行提级统筹，调动各方资源，确保项目落地建设。</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1"/>
        <w:rPr>
          <w:rFonts w:hint="eastAsia" w:ascii="Times New Roman" w:hAnsi="Times New Roman" w:eastAsia="楷体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_GB2312" w:cs="Times New Roman"/>
          <w:color w:val="000000" w:themeColor="text1"/>
          <w:sz w:val="32"/>
          <w:szCs w:val="32"/>
          <w:highlight w:val="none"/>
          <w:lang w:val="en-US" w:eastAsia="zh-CN"/>
          <w14:textFill>
            <w14:solidFill>
              <w14:schemeClr w14:val="tx1"/>
            </w14:solidFill>
          </w14:textFill>
        </w:rPr>
        <w:t>（三）培育壮大县域经营主体</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1</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.做</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大</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做强龙头企业。</w:t>
      </w:r>
      <w:r>
        <w:rPr>
          <w:rFonts w:hint="eastAsia"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t>深入</w:t>
      </w:r>
      <w:r>
        <w:rPr>
          <w:rFonts w:hint="default"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t>实施龙头企业分级培育</w:t>
      </w:r>
      <w:r>
        <w:rPr>
          <w:rFonts w:hint="eastAsia"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t>机制，</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持续加大龙头企业扶持力度</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，落实龙头企业培育奖励资金。支持县域重点打造营业收入超过10亿元级的龙头企业，到2027年，力争在全省县域累计培育新增10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亿级</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工业龙头企业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50户。</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1</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.培育壮大规上企业。</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支持各县推动工业企业上规入统，对新增上规入统工业企业每户奖励20万元。建立“临规”企业培育库，</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分类</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加强帮扶指导，助推上规</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入统</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到2027年，推动修文、赤水、玉屏、独山、瓮安等县域规模以上工业企业总量突破100户，累计新增规模以上工业企业1200户。</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1</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发展</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“专精特新”中小企业。</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进一步健全优质中小企业梯度培育体系</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，支持中小企业走“专精特新”发展之路，到2027年力争专精特新企业实现县域全覆盖。持续开展促进大中小企业融通创新“携手行动”，支持县域培育创建一批省级中小企业特色产业集群。</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1"/>
        <w:rPr>
          <w:rFonts w:hint="eastAsia" w:ascii="Times New Roman" w:hAnsi="Times New Roman" w:eastAsia="楷体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_GB2312" w:cs="Times New Roman"/>
          <w:color w:val="000000" w:themeColor="text1"/>
          <w:sz w:val="32"/>
          <w:szCs w:val="32"/>
          <w:highlight w:val="none"/>
          <w:lang w:val="en-US" w:eastAsia="zh-CN"/>
          <w14:textFill>
            <w14:solidFill>
              <w14:schemeClr w14:val="tx1"/>
            </w14:solidFill>
          </w14:textFill>
        </w:rPr>
        <w:t>（四）增强县域企业核心竞争力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13.支持企业创新发展</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聚焦建设高能级科技创新平台，加强关键核心技术攻关，加快科技成果转化，激发企业创新活力。通过贵州省工业和信息化发展专项资金，对新认定的国家级技术创新示范企业、国家工业设计中心给予一次性补助100万元，对新认定的省级企业技术中心、技术创新示范企业、工业设计中心给予一次性补助50万元。</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1"/>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14.强化企业品牌建设</w:t>
      </w:r>
      <w:r>
        <w:rPr>
          <w:rFonts w:hint="eastAsia" w:ascii="Times New Roman" w:hAnsi="Times New Roman" w:eastAsia="楷体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持续加强县域工业企业品牌培育、创建与提升，在县域打造一批有影响力的“贵州制造”品牌。</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0" w:firstLineChars="0"/>
        <w:jc w:val="both"/>
        <w:textAlignment w:val="auto"/>
        <w:outlineLvl w:val="1"/>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鼓励县域“链主”企业、龙头企业完善品牌管理架构，加强品牌质量管控，建立品牌保护机制，提升品牌知名度和竞争力。</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1"/>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15.助力企业拓展市场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积极融入粤港澳大湾区、长三角一体化、西部陆海新通道、成渝地区双城经济圈、长江经济带等国家区域发展战略，推动县域工业企业瞄准国内外市场需求，参加国内外重点展会、产业配套供需对接活动等，引导支持企业“走出去”拓市场、抓订单、稳生产。</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1"/>
        <w:rPr>
          <w:rFonts w:hint="eastAsia" w:ascii="Times New Roman" w:hAnsi="Times New Roman" w:eastAsia="楷体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_GB2312" w:cs="Times New Roman"/>
          <w:color w:val="000000" w:themeColor="text1"/>
          <w:sz w:val="32"/>
          <w:szCs w:val="32"/>
          <w:highlight w:val="none"/>
          <w:lang w:val="en-US" w:eastAsia="zh-CN"/>
          <w14:textFill>
            <w14:solidFill>
              <w14:schemeClr w14:val="tx1"/>
            </w14:solidFill>
          </w14:textFill>
        </w:rPr>
        <w:t>（五）推动县域工业数字化转型</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1</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6</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.推动重点行业数字化转型。</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加强对县域工业数字化转型和技术改造升级的服务指导，支持福泉、开阳、六枝、大龙等县</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加速化工、钢铁、新能源电池材料等行业数字化改造进程</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围绕各县</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域工业主导产业</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，推动数字化转型解决方案服务商在县域设立服务触点和团队</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完善</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县域</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数字化转型支撑服务体系</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17</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.推进</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重点</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企业数字化改造。</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支持县域龙头企业建设数字产线、无人车间、5G全连接工厂，鼓励加快发展以智能车间、智能工厂、智慧供应链等为载体的智能生产新场景。支持中小企业核心业务环节数字化改造，全力推动规模以上工业企业数字化转型全覆盖。</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重点支持修文、贵定、仁怀等县打造转型示范标杆企业。</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1"/>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_GB2312" w:cs="Times New Roman"/>
          <w:color w:val="000000" w:themeColor="text1"/>
          <w:sz w:val="32"/>
          <w:szCs w:val="32"/>
          <w:highlight w:val="none"/>
          <w:lang w:val="en-US" w:eastAsia="zh-CN"/>
          <w14:textFill>
            <w14:solidFill>
              <w14:schemeClr w14:val="tx1"/>
            </w14:solidFill>
          </w14:textFill>
        </w:rPr>
        <w:t>（六）推动县域开发区高质量发展</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18</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提升</w:t>
      </w:r>
      <w:r>
        <w:rPr>
          <w:rFonts w:hint="eastAsia" w:ascii="Times New Roman" w:hAnsi="Times New Roman" w:eastAsia="黑体" w:cs="Times New Roman"/>
          <w:color w:val="000000" w:themeColor="text1"/>
          <w:sz w:val="32"/>
          <w:szCs w:val="32"/>
          <w:highlight w:val="none"/>
          <w:lang w:eastAsia="zh-CN"/>
          <w14:textFill>
            <w14:solidFill>
              <w14:schemeClr w14:val="tx1"/>
            </w14:solidFill>
          </w14:textFill>
        </w:rPr>
        <w:t>开发区</w:t>
      </w: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综合</w:t>
      </w:r>
      <w:r>
        <w:rPr>
          <w:rFonts w:hint="default" w:ascii="Times New Roman" w:hAnsi="Times New Roman" w:eastAsia="黑体" w:cs="Times New Roman"/>
          <w:color w:val="000000" w:themeColor="text1"/>
          <w:sz w:val="32"/>
          <w:szCs w:val="32"/>
          <w:highlight w:val="none"/>
          <w14:textFill>
            <w14:solidFill>
              <w14:schemeClr w14:val="tx1"/>
            </w14:solidFill>
          </w14:textFill>
        </w:rPr>
        <w:t>承载能力。</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统筹财政资金，以融资贴息方式支持部分产业重点园区配套基础设施建设。积极支持符合条件的国家级和省级产业园区基础设施项目发行新增专项债券</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bookmarkStart w:id="0" w:name="_GoBack"/>
      <w:bookmarkEnd w:id="0"/>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强化用电、用气等要素保障，持续提升产业承载能力，带动县域工业经济增长。</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19.分类推进重点开发区建设。</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全面深化开发区管理制度改革，指导县域理顺开发区管理工作机制，积极推动运营公司实体化、市场化运作。</w:t>
      </w:r>
      <w:r>
        <w:rPr>
          <w:rFonts w:hint="eastAsia" w:ascii="Times New Roman" w:hAnsi="Times New Roman" w:eastAsia="仿宋_GB2312" w:cs="Times New Roman"/>
          <w:color w:val="000000"/>
          <w:sz w:val="32"/>
          <w:szCs w:val="32"/>
          <w:highlight w:val="none"/>
          <w:lang w:val="en-US" w:eastAsia="zh-CN"/>
        </w:rPr>
        <w:t>集中优势资源支持“重点开发区”和“单项示范开发区”加快发展，坚持动态管理、有进有退，分类推动县域开发区提质增效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textAlignment w:val="auto"/>
        <w:outlineLvl w:val="1"/>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_GB2312" w:cs="Times New Roman"/>
          <w:color w:val="000000" w:themeColor="text1"/>
          <w:sz w:val="32"/>
          <w:szCs w:val="32"/>
          <w:highlight w:val="none"/>
          <w:lang w:val="en-US" w:eastAsia="zh-CN"/>
          <w14:textFill>
            <w14:solidFill>
              <w14:schemeClr w14:val="tx1"/>
            </w14:solidFill>
          </w14:textFill>
        </w:rPr>
        <w:t>（七）</w:t>
      </w:r>
      <w:r>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t>守好发展和生态两条底线</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20</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.推进工业领域节能降碳。</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统筹推进工业领域特别是钢铁、</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水泥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等重点行业绿色低碳改造，支持一批具有示范带动性的工业节能与综合利用项目。坚持节能监察执法节能诊断服务“双轮驱动”帮助企业挖掘节能潜力，提升能效水平。</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21</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.大力提升资源综合利用水平。</w:t>
      </w:r>
      <w:r>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t>持续推进工业资源综合利用基地建设，围绕磷石膏、锰渣、赤泥等大宗工业固体废物，</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在开阳、息烽、瓮安、福泉、松桃等县，</w:t>
      </w:r>
      <w:r>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t>培育扶持一批带动性强、示范性好的综合利用重点企业</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t>推动再生资源综合利用产业规范发展。</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22</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.打造绿色制造示范标杆。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充分发挥县域工业绿色制造标杆引领作用，以打造绿色工厂、绿色园区、绿色供应链为抓手，创新工作模式，开展梯度培育，向绿色工厂试点推行“企业绿码”。引导企业加大提标改造力度，培育能效、水效“领跑者”，强化示范带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0"/>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三、保障措施</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Times New Roman" w:hAnsi="Times New Roman" w:eastAsia="楷体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t>（一）</w:t>
      </w:r>
      <w:r>
        <w:rPr>
          <w:rFonts w:hint="eastAsia" w:ascii="Times New Roman" w:hAnsi="Times New Roman" w:eastAsia="楷体_GB2312" w:cs="Times New Roman"/>
          <w:color w:val="000000" w:themeColor="text1"/>
          <w:sz w:val="32"/>
          <w:szCs w:val="32"/>
          <w:highlight w:val="none"/>
          <w:lang w:val="en-US" w:eastAsia="zh-CN"/>
          <w14:textFill>
            <w14:solidFill>
              <w14:schemeClr w14:val="tx1"/>
            </w14:solidFill>
          </w14:textFill>
        </w:rPr>
        <w:t>强化</w:t>
      </w:r>
      <w:r>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t>组织</w:t>
      </w:r>
      <w:r>
        <w:rPr>
          <w:rFonts w:hint="eastAsia" w:ascii="Times New Roman" w:hAnsi="Times New Roman" w:eastAsia="楷体_GB2312" w:cs="Times New Roman"/>
          <w:color w:val="000000" w:themeColor="text1"/>
          <w:sz w:val="32"/>
          <w:szCs w:val="32"/>
          <w:highlight w:val="none"/>
          <w:lang w:val="en-US" w:eastAsia="zh-CN"/>
          <w14:textFill>
            <w14:solidFill>
              <w14:schemeClr w14:val="tx1"/>
            </w14:solidFill>
          </w14:textFill>
        </w:rPr>
        <w:t>实施</w:t>
      </w:r>
      <w:r>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i w:val="0"/>
          <w:iCs w:val="0"/>
          <w:caps w:val="0"/>
          <w:color w:val="000000" w:themeColor="text1"/>
          <w:spacing w:val="0"/>
          <w:sz w:val="32"/>
          <w:szCs w:val="32"/>
          <w:highlight w:val="none"/>
          <w:shd w:val="clear"/>
          <w:lang w:val="en-US" w:eastAsia="zh-CN"/>
          <w14:textFill>
            <w14:solidFill>
              <w14:schemeClr w14:val="tx1"/>
            </w14:solidFill>
          </w14:textFill>
        </w:rPr>
        <w:t>省新型工业化工作领导小组办公室统筹推进县域工业经济高质量发展工作。各县（市）要不断汇聚大抓工业、大兴工业、大干工业的强大合力，加快推进工业强县建设。</w:t>
      </w:r>
      <w:r>
        <w:rPr>
          <w:rFonts w:hint="eastAsia" w:ascii="Times New Roman" w:hAnsi="Times New Roman" w:eastAsia="仿宋_GB2312" w:cs="Times New Roman"/>
          <w:i w:val="0"/>
          <w:iCs w:val="0"/>
          <w:caps w:val="0"/>
          <w:color w:val="000000" w:themeColor="text1"/>
          <w:spacing w:val="0"/>
          <w:sz w:val="32"/>
          <w:szCs w:val="32"/>
          <w:highlight w:val="none"/>
          <w:shd w:val="clear"/>
          <w:lang w:eastAsia="zh-CN"/>
          <w14:textFill>
            <w14:solidFill>
              <w14:schemeClr w14:val="tx1"/>
            </w14:solidFill>
          </w14:textFill>
        </w:rPr>
        <w:t>充分发挥考核评估激励作用，抓好县域工业高质量发展评估。</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left"/>
        <w:textAlignment w:val="auto"/>
        <w:outlineLvl w:val="1"/>
        <w:rPr>
          <w:rFonts w:hint="eastAsia" w:ascii="Times New Roman" w:hAnsi="Times New Roman" w:eastAsia="楷体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_GB2312" w:cs="Times New Roman"/>
          <w:color w:val="000000" w:themeColor="text1"/>
          <w:sz w:val="32"/>
          <w:szCs w:val="32"/>
          <w:highlight w:val="none"/>
          <w:lang w:val="en-US" w:eastAsia="zh-CN"/>
          <w14:textFill>
            <w14:solidFill>
              <w14:schemeClr w14:val="tx1"/>
            </w14:solidFill>
          </w14:textFill>
        </w:rPr>
        <w:t>（二）强化要素保障</w:t>
      </w:r>
      <w:r>
        <w:rPr>
          <w:rFonts w:hint="default" w:ascii="Times New Roman" w:hAnsi="Times New Roman" w:eastAsia="楷体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省市有关部门和单位要大力支持县域工业发展。</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县域</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纳入国家和省重大项目清单的项目</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新增建设用地年度计划指标由省级统筹配置。</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鼓励金融机构增加工业企业信贷投放力度，拓宽企业融资渠道。</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i w:val="0"/>
          <w:iCs w:val="0"/>
          <w:caps w:val="0"/>
          <w:color w:val="000000" w:themeColor="text1"/>
          <w:spacing w:val="0"/>
          <w:sz w:val="32"/>
          <w:szCs w:val="32"/>
          <w:highlight w:val="none"/>
          <w:shd w:val="clear"/>
          <w:lang w:val="en-US" w:eastAsia="zh-CN"/>
          <w14:textFill>
            <w14:solidFill>
              <w14:schemeClr w14:val="tx1"/>
            </w14:solidFill>
          </w14:textFill>
        </w:rPr>
      </w:pPr>
      <w:r>
        <w:rPr>
          <w:rFonts w:hint="eastAsia" w:ascii="Times New Roman" w:hAnsi="Times New Roman" w:eastAsia="楷体_GB2312" w:cs="Times New Roman"/>
          <w:color w:val="000000" w:themeColor="text1"/>
          <w:sz w:val="32"/>
          <w:szCs w:val="32"/>
          <w:highlight w:val="none"/>
          <w:lang w:val="en-US" w:eastAsia="zh-CN"/>
          <w14:textFill>
            <w14:solidFill>
              <w14:schemeClr w14:val="tx1"/>
            </w14:solidFill>
          </w14:textFill>
        </w:rPr>
        <w:t>（三）强化宣传引导。</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及时总结推广各地在推动</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县域工业经济高质量发展过程中</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的好经验、好做法，加强宣传报道和舆论引导，广泛调动各方面积极性，形成良好的发展氛围。</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cstheme="minorEastAsia"/>
                              <w:sz w:val="24"/>
                            </w:rPr>
                          </w:pPr>
                          <w:r>
                            <w:rPr>
                              <w:rFonts w:hint="eastAsia" w:asciiTheme="minorEastAsia" w:hAnsiTheme="minorEastAsia" w:cstheme="minorEastAsia"/>
                              <w:sz w:val="24"/>
                            </w:rPr>
                            <w:t xml:space="preserve">— </w:t>
                          </w:r>
                          <w:r>
                            <w:rPr>
                              <w:rFonts w:hint="eastAsia" w:asciiTheme="minorEastAsia" w:hAnsiTheme="minorEastAsia" w:cstheme="minorEastAsia"/>
                              <w:sz w:val="24"/>
                            </w:rPr>
                            <w:fldChar w:fldCharType="begin"/>
                          </w:r>
                          <w:r>
                            <w:rPr>
                              <w:rFonts w:hint="eastAsia" w:asciiTheme="minorEastAsia" w:hAnsiTheme="minorEastAsia" w:cstheme="minorEastAsia"/>
                              <w:sz w:val="24"/>
                            </w:rPr>
                            <w:instrText xml:space="preserve"> PAGE  \* MERGEFORMAT </w:instrText>
                          </w:r>
                          <w:r>
                            <w:rPr>
                              <w:rFonts w:hint="eastAsia" w:asciiTheme="minorEastAsia" w:hAnsiTheme="minorEastAsia" w:cstheme="minorEastAsia"/>
                              <w:sz w:val="24"/>
                            </w:rPr>
                            <w:fldChar w:fldCharType="separate"/>
                          </w:r>
                          <w:r>
                            <w:rPr>
                              <w:rFonts w:hint="eastAsia" w:asciiTheme="minorEastAsia" w:hAnsiTheme="minorEastAsia" w:cstheme="minorEastAsia"/>
                              <w:sz w:val="24"/>
                            </w:rPr>
                            <w:t>1</w:t>
                          </w:r>
                          <w:r>
                            <w:rPr>
                              <w:rFonts w:hint="eastAsia" w:asciiTheme="minorEastAsia" w:hAnsiTheme="minorEastAsia" w:cstheme="minorEastAsia"/>
                              <w:sz w:val="24"/>
                            </w:rPr>
                            <w:fldChar w:fldCharType="end"/>
                          </w:r>
                          <w:r>
                            <w:rPr>
                              <w:rFonts w:hint="eastAsia" w:asciiTheme="minorEastAsia" w:hAnsiTheme="minorEastAsia" w:cstheme="minorEastAsia"/>
                              <w:sz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asciiTheme="minorEastAsia" w:hAnsiTheme="minorEastAsia" w:cstheme="minorEastAsia"/>
                        <w:sz w:val="24"/>
                      </w:rPr>
                    </w:pPr>
                    <w:r>
                      <w:rPr>
                        <w:rFonts w:hint="eastAsia" w:asciiTheme="minorEastAsia" w:hAnsiTheme="minorEastAsia" w:cstheme="minorEastAsia"/>
                        <w:sz w:val="24"/>
                      </w:rPr>
                      <w:t xml:space="preserve">— </w:t>
                    </w:r>
                    <w:r>
                      <w:rPr>
                        <w:rFonts w:hint="eastAsia" w:asciiTheme="minorEastAsia" w:hAnsiTheme="minorEastAsia" w:cstheme="minorEastAsia"/>
                        <w:sz w:val="24"/>
                      </w:rPr>
                      <w:fldChar w:fldCharType="begin"/>
                    </w:r>
                    <w:r>
                      <w:rPr>
                        <w:rFonts w:hint="eastAsia" w:asciiTheme="minorEastAsia" w:hAnsiTheme="minorEastAsia" w:cstheme="minorEastAsia"/>
                        <w:sz w:val="24"/>
                      </w:rPr>
                      <w:instrText xml:space="preserve"> PAGE  \* MERGEFORMAT </w:instrText>
                    </w:r>
                    <w:r>
                      <w:rPr>
                        <w:rFonts w:hint="eastAsia" w:asciiTheme="minorEastAsia" w:hAnsiTheme="minorEastAsia" w:cstheme="minorEastAsia"/>
                        <w:sz w:val="24"/>
                      </w:rPr>
                      <w:fldChar w:fldCharType="separate"/>
                    </w:r>
                    <w:r>
                      <w:rPr>
                        <w:rFonts w:hint="eastAsia" w:asciiTheme="minorEastAsia" w:hAnsiTheme="minorEastAsia" w:cstheme="minorEastAsia"/>
                        <w:sz w:val="24"/>
                      </w:rPr>
                      <w:t>1</w:t>
                    </w:r>
                    <w:r>
                      <w:rPr>
                        <w:rFonts w:hint="eastAsia" w:asciiTheme="minorEastAsia" w:hAnsiTheme="minorEastAsia" w:cstheme="minorEastAsia"/>
                        <w:sz w:val="24"/>
                      </w:rPr>
                      <w:fldChar w:fldCharType="end"/>
                    </w:r>
                    <w:r>
                      <w:rPr>
                        <w:rFonts w:hint="eastAsia" w:asciiTheme="minorEastAsia" w:hAnsiTheme="minorEastAsia" w:cstheme="minorEastAsia"/>
                        <w:sz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6DFC3578"/>
    <w:rsid w:val="01263C7A"/>
    <w:rsid w:val="036F606A"/>
    <w:rsid w:val="040108ED"/>
    <w:rsid w:val="04533DF5"/>
    <w:rsid w:val="04F214D4"/>
    <w:rsid w:val="054C0190"/>
    <w:rsid w:val="07D63618"/>
    <w:rsid w:val="07DBD875"/>
    <w:rsid w:val="0E9A2BDA"/>
    <w:rsid w:val="1694235C"/>
    <w:rsid w:val="17BE2A2B"/>
    <w:rsid w:val="18F86A0A"/>
    <w:rsid w:val="1D534F9F"/>
    <w:rsid w:val="1DC76599"/>
    <w:rsid w:val="1EDBFB0D"/>
    <w:rsid w:val="1EFF766C"/>
    <w:rsid w:val="1F8906B2"/>
    <w:rsid w:val="1FF4697D"/>
    <w:rsid w:val="206E42B7"/>
    <w:rsid w:val="20830AF5"/>
    <w:rsid w:val="20B200AD"/>
    <w:rsid w:val="219D029F"/>
    <w:rsid w:val="237B0115"/>
    <w:rsid w:val="249E2782"/>
    <w:rsid w:val="262A6D06"/>
    <w:rsid w:val="2CF7E9CB"/>
    <w:rsid w:val="2EB7759E"/>
    <w:rsid w:val="30DE0BF3"/>
    <w:rsid w:val="32F65F08"/>
    <w:rsid w:val="34F58BBB"/>
    <w:rsid w:val="360B4C84"/>
    <w:rsid w:val="36421D91"/>
    <w:rsid w:val="373FB812"/>
    <w:rsid w:val="37537751"/>
    <w:rsid w:val="379C0A32"/>
    <w:rsid w:val="37D3366C"/>
    <w:rsid w:val="37FC47F4"/>
    <w:rsid w:val="3ABD2494"/>
    <w:rsid w:val="3B3D7900"/>
    <w:rsid w:val="3D8A3804"/>
    <w:rsid w:val="3DFDE62A"/>
    <w:rsid w:val="3EFB0F1D"/>
    <w:rsid w:val="3FAE03FB"/>
    <w:rsid w:val="3FDE1544"/>
    <w:rsid w:val="44364A87"/>
    <w:rsid w:val="47E7F575"/>
    <w:rsid w:val="47F16DC1"/>
    <w:rsid w:val="4B28547B"/>
    <w:rsid w:val="4BFF3450"/>
    <w:rsid w:val="4D7814A6"/>
    <w:rsid w:val="4DBB7693"/>
    <w:rsid w:val="4DE96DE4"/>
    <w:rsid w:val="4FAFD4CE"/>
    <w:rsid w:val="4FFF4C1D"/>
    <w:rsid w:val="51C6120B"/>
    <w:rsid w:val="53030B27"/>
    <w:rsid w:val="53D340C2"/>
    <w:rsid w:val="56517DDD"/>
    <w:rsid w:val="573E8ECF"/>
    <w:rsid w:val="585F4E51"/>
    <w:rsid w:val="5D73BDC7"/>
    <w:rsid w:val="5D7E71A8"/>
    <w:rsid w:val="5E944289"/>
    <w:rsid w:val="5F3D7BF8"/>
    <w:rsid w:val="5FEF0378"/>
    <w:rsid w:val="5FFD59E9"/>
    <w:rsid w:val="5FFF2E90"/>
    <w:rsid w:val="637864A7"/>
    <w:rsid w:val="63FF34CA"/>
    <w:rsid w:val="64E41F4C"/>
    <w:rsid w:val="653B106B"/>
    <w:rsid w:val="65D50447"/>
    <w:rsid w:val="65F7FC7E"/>
    <w:rsid w:val="678F3255"/>
    <w:rsid w:val="67FE2A2E"/>
    <w:rsid w:val="6839778E"/>
    <w:rsid w:val="684E3E5B"/>
    <w:rsid w:val="69351125"/>
    <w:rsid w:val="6A5F4BF6"/>
    <w:rsid w:val="6AA4041B"/>
    <w:rsid w:val="6B6630F4"/>
    <w:rsid w:val="6BEFA8EE"/>
    <w:rsid w:val="6C2B3FC5"/>
    <w:rsid w:val="6C73B83F"/>
    <w:rsid w:val="6D7FF495"/>
    <w:rsid w:val="6DBB7590"/>
    <w:rsid w:val="6DC20A4A"/>
    <w:rsid w:val="6DFC3578"/>
    <w:rsid w:val="6EFC194F"/>
    <w:rsid w:val="6F74FE5D"/>
    <w:rsid w:val="6F99E9A4"/>
    <w:rsid w:val="6F9FBABA"/>
    <w:rsid w:val="6FAF3965"/>
    <w:rsid w:val="6FDAB267"/>
    <w:rsid w:val="6FFB6264"/>
    <w:rsid w:val="6FFEEB6E"/>
    <w:rsid w:val="71799D3C"/>
    <w:rsid w:val="71D2EA7D"/>
    <w:rsid w:val="728D6D01"/>
    <w:rsid w:val="73CA29FD"/>
    <w:rsid w:val="73FB7361"/>
    <w:rsid w:val="75DF3B7A"/>
    <w:rsid w:val="75EB2F08"/>
    <w:rsid w:val="762F8DFF"/>
    <w:rsid w:val="764D738F"/>
    <w:rsid w:val="765B9590"/>
    <w:rsid w:val="76703ADC"/>
    <w:rsid w:val="76B7C7F4"/>
    <w:rsid w:val="76DB393F"/>
    <w:rsid w:val="76DDCBA7"/>
    <w:rsid w:val="776A390A"/>
    <w:rsid w:val="776F3090"/>
    <w:rsid w:val="777E4378"/>
    <w:rsid w:val="777FDDB9"/>
    <w:rsid w:val="77A0DAD3"/>
    <w:rsid w:val="77B5E196"/>
    <w:rsid w:val="77F2793F"/>
    <w:rsid w:val="77F506FE"/>
    <w:rsid w:val="77FF057E"/>
    <w:rsid w:val="786C12A0"/>
    <w:rsid w:val="793EC56A"/>
    <w:rsid w:val="795C0AC2"/>
    <w:rsid w:val="79DB3B7A"/>
    <w:rsid w:val="79FF6C6A"/>
    <w:rsid w:val="7A5E3E6B"/>
    <w:rsid w:val="7B5192AE"/>
    <w:rsid w:val="7B6FD269"/>
    <w:rsid w:val="7BBD2FB8"/>
    <w:rsid w:val="7BD71B34"/>
    <w:rsid w:val="7BF9FA73"/>
    <w:rsid w:val="7BFB49BD"/>
    <w:rsid w:val="7CE3DB79"/>
    <w:rsid w:val="7CFBD08A"/>
    <w:rsid w:val="7D5EB25E"/>
    <w:rsid w:val="7D6FE088"/>
    <w:rsid w:val="7DB76558"/>
    <w:rsid w:val="7DCEEBE3"/>
    <w:rsid w:val="7DED4175"/>
    <w:rsid w:val="7DFFD1F4"/>
    <w:rsid w:val="7DFFD6E8"/>
    <w:rsid w:val="7E7D81F7"/>
    <w:rsid w:val="7E85E886"/>
    <w:rsid w:val="7EA1645A"/>
    <w:rsid w:val="7ECB2C9C"/>
    <w:rsid w:val="7F2D3F75"/>
    <w:rsid w:val="7F7D2D61"/>
    <w:rsid w:val="7F7FC8BB"/>
    <w:rsid w:val="7FB2D4DA"/>
    <w:rsid w:val="7FB5E22C"/>
    <w:rsid w:val="7FD7DBAF"/>
    <w:rsid w:val="7FF352C0"/>
    <w:rsid w:val="7FFD1280"/>
    <w:rsid w:val="7FFF422C"/>
    <w:rsid w:val="813531D5"/>
    <w:rsid w:val="8F5F4076"/>
    <w:rsid w:val="95DB7BD5"/>
    <w:rsid w:val="AD0434B0"/>
    <w:rsid w:val="ADDFF4F9"/>
    <w:rsid w:val="AF6DCB29"/>
    <w:rsid w:val="AFD56106"/>
    <w:rsid w:val="AFE93BBB"/>
    <w:rsid w:val="B3EF36C6"/>
    <w:rsid w:val="B7F3D4A5"/>
    <w:rsid w:val="B7FB021D"/>
    <w:rsid w:val="BBE703F5"/>
    <w:rsid w:val="BBF7D6B5"/>
    <w:rsid w:val="BD8B03A7"/>
    <w:rsid w:val="BDEF570F"/>
    <w:rsid w:val="BEA3DAB5"/>
    <w:rsid w:val="BEB6F6CC"/>
    <w:rsid w:val="BEDE24D4"/>
    <w:rsid w:val="BF5FBB92"/>
    <w:rsid w:val="BFBFD869"/>
    <w:rsid w:val="BFC77CC2"/>
    <w:rsid w:val="BFD547CD"/>
    <w:rsid w:val="BFF6A9B7"/>
    <w:rsid w:val="BFFC8470"/>
    <w:rsid w:val="BFFF8012"/>
    <w:rsid w:val="C7EFC29A"/>
    <w:rsid w:val="CBBB97C7"/>
    <w:rsid w:val="CDBF6F3D"/>
    <w:rsid w:val="CDEF4D4D"/>
    <w:rsid w:val="CF9FBA38"/>
    <w:rsid w:val="CFFF97CB"/>
    <w:rsid w:val="D57F7687"/>
    <w:rsid w:val="D7FF17F2"/>
    <w:rsid w:val="D87D9990"/>
    <w:rsid w:val="DDFDC5DD"/>
    <w:rsid w:val="DF532AE7"/>
    <w:rsid w:val="DFB7EAEA"/>
    <w:rsid w:val="DFCDB457"/>
    <w:rsid w:val="E2DD7CF6"/>
    <w:rsid w:val="E3EEA4C9"/>
    <w:rsid w:val="E6EEC3E3"/>
    <w:rsid w:val="E6FCB1E0"/>
    <w:rsid w:val="E77FF368"/>
    <w:rsid w:val="E7B3CE79"/>
    <w:rsid w:val="E9AE5BD7"/>
    <w:rsid w:val="EBDF9433"/>
    <w:rsid w:val="EBE75682"/>
    <w:rsid w:val="EE776ECB"/>
    <w:rsid w:val="EF6FBBF8"/>
    <w:rsid w:val="EF7EA97B"/>
    <w:rsid w:val="EFCF949E"/>
    <w:rsid w:val="EFEF0896"/>
    <w:rsid w:val="EFF6E187"/>
    <w:rsid w:val="EFFF9F1F"/>
    <w:rsid w:val="EFFFC707"/>
    <w:rsid w:val="F1E7EF32"/>
    <w:rsid w:val="F4FFE43B"/>
    <w:rsid w:val="F57EF725"/>
    <w:rsid w:val="F5EF1C5E"/>
    <w:rsid w:val="F6BFC602"/>
    <w:rsid w:val="F6F9F0F5"/>
    <w:rsid w:val="F7BF31E2"/>
    <w:rsid w:val="F7D713C1"/>
    <w:rsid w:val="F7FF4DF5"/>
    <w:rsid w:val="F8FD36CF"/>
    <w:rsid w:val="F9ADC65D"/>
    <w:rsid w:val="F9AE4BA3"/>
    <w:rsid w:val="FA4E986D"/>
    <w:rsid w:val="FB8F3FA4"/>
    <w:rsid w:val="FBDBC8A5"/>
    <w:rsid w:val="FC9F5B2C"/>
    <w:rsid w:val="FCEFA0EC"/>
    <w:rsid w:val="FD7FABB1"/>
    <w:rsid w:val="FDDF4046"/>
    <w:rsid w:val="FDEFBDC2"/>
    <w:rsid w:val="FDF2C75F"/>
    <w:rsid w:val="FDF5AA00"/>
    <w:rsid w:val="FDFF52CD"/>
    <w:rsid w:val="FE7F6A1E"/>
    <w:rsid w:val="FECF8F98"/>
    <w:rsid w:val="FEDB6196"/>
    <w:rsid w:val="FEDD3A27"/>
    <w:rsid w:val="FEFBBF0D"/>
    <w:rsid w:val="FF1646DF"/>
    <w:rsid w:val="FF3F15F6"/>
    <w:rsid w:val="FF74864F"/>
    <w:rsid w:val="FF7CB3F8"/>
    <w:rsid w:val="FFBF170A"/>
    <w:rsid w:val="FFEE0477"/>
    <w:rsid w:val="FFF58943"/>
    <w:rsid w:val="FFF989BD"/>
    <w:rsid w:val="FFFD669C"/>
    <w:rsid w:val="FFFF8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style>
  <w:style w:type="paragraph" w:styleId="3">
    <w:name w:val="annotation text"/>
    <w:basedOn w:val="1"/>
    <w:qFormat/>
    <w:uiPriority w:val="0"/>
    <w:pPr>
      <w:jc w:val="left"/>
    </w:pPr>
  </w:style>
  <w:style w:type="paragraph" w:styleId="4">
    <w:name w:val="Body Text Indent"/>
    <w:basedOn w:val="1"/>
    <w:qFormat/>
    <w:uiPriority w:val="0"/>
    <w:pPr>
      <w:widowControl w:val="0"/>
      <w:spacing w:after="120"/>
      <w:ind w:left="420" w:leftChars="200"/>
      <w:jc w:val="both"/>
    </w:pPr>
    <w:rPr>
      <w:rFonts w:ascii="Times New Roman" w:hAnsi="Times New Roman" w:eastAsia="仿宋_GB2312" w:cs="Times New Roman"/>
      <w:kern w:val="2"/>
      <w:sz w:val="32"/>
      <w:szCs w:val="24"/>
      <w:lang w:val="en-US" w:eastAsia="zh-CN" w:bidi="ar-SA"/>
    </w:rPr>
  </w:style>
  <w:style w:type="paragraph" w:styleId="5">
    <w:name w:val="Body Text Indent 2"/>
    <w:basedOn w:val="1"/>
    <w:unhideWhenUsed/>
    <w:qFormat/>
    <w:uiPriority w:val="0"/>
    <w:pPr>
      <w:spacing w:after="120"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qFormat/>
    <w:uiPriority w:val="99"/>
    <w:pPr>
      <w:widowControl w:val="0"/>
      <w:spacing w:after="120"/>
      <w:ind w:left="420" w:leftChars="200" w:firstLine="420" w:firstLineChars="200"/>
      <w:jc w:val="both"/>
    </w:pPr>
    <w:rPr>
      <w:rFonts w:ascii="Times New Roman" w:hAnsi="Times New Roman" w:eastAsia="仿宋_GB2312" w:cs="Times New Roman"/>
      <w:kern w:val="2"/>
      <w:sz w:val="32"/>
      <w:szCs w:val="24"/>
      <w:lang w:val="en-US" w:eastAsia="zh-CN" w:bidi="ar-SA"/>
    </w:rPr>
  </w:style>
  <w:style w:type="character" w:styleId="12">
    <w:name w:val="Strong"/>
    <w:basedOn w:val="11"/>
    <w:qFormat/>
    <w:uiPriority w:val="0"/>
    <w:rPr>
      <w:b/>
    </w:rPr>
  </w:style>
  <w:style w:type="character" w:styleId="13">
    <w:name w:val="Emphasis"/>
    <w:basedOn w:val="11"/>
    <w:qFormat/>
    <w:uiPriority w:val="0"/>
    <w:rPr>
      <w:i/>
    </w:rPr>
  </w:style>
  <w:style w:type="paragraph" w:customStyle="1" w:styleId="14">
    <w:name w:val="BodyText1I2"/>
    <w:basedOn w:val="15"/>
    <w:next w:val="16"/>
    <w:qFormat/>
    <w:uiPriority w:val="0"/>
    <w:pPr>
      <w:spacing w:after="0" w:line="500" w:lineRule="exact"/>
      <w:ind w:left="0" w:leftChars="0" w:firstLine="420" w:firstLineChars="200"/>
      <w:jc w:val="both"/>
    </w:pPr>
    <w:rPr>
      <w:rFonts w:ascii="仿宋_GB2312" w:hAnsi="Times New Roman" w:eastAsia="仿宋_GB2312" w:cs="Times New Roman"/>
      <w:sz w:val="30"/>
    </w:rPr>
  </w:style>
  <w:style w:type="paragraph" w:customStyle="1" w:styleId="15">
    <w:name w:val="BodyTextIndent"/>
    <w:basedOn w:val="1"/>
    <w:qFormat/>
    <w:uiPriority w:val="0"/>
    <w:pPr>
      <w:spacing w:after="120"/>
      <w:ind w:left="420" w:leftChars="200"/>
    </w:pPr>
  </w:style>
  <w:style w:type="paragraph" w:customStyle="1" w:styleId="16">
    <w:name w:val="BodyText"/>
    <w:basedOn w:val="1"/>
    <w:next w:val="1"/>
    <w:qFormat/>
    <w:uiPriority w:val="0"/>
    <w:pPr>
      <w:ind w:left="2722"/>
      <w:jc w:val="both"/>
      <w:textAlignment w:val="baseline"/>
    </w:pPr>
    <w:rPr>
      <w:rFonts w:ascii="宋体" w:hAnsi="宋体" w:eastAsia="宋体"/>
      <w:kern w:val="0"/>
      <w:sz w:val="32"/>
      <w:szCs w:val="32"/>
      <w:lang w:val="en-US"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5362</Words>
  <Characters>5416</Characters>
  <Lines>0</Lines>
  <Paragraphs>0</Paragraphs>
  <TotalTime>1</TotalTime>
  <ScaleCrop>false</ScaleCrop>
  <LinksUpToDate>false</LinksUpToDate>
  <CharactersWithSpaces>5416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2024-03-07T01:04:00Z</dcterms:created>
  <dc:creator>他。</dc:creator>
  <cp:lastModifiedBy>ysgz</cp:lastModifiedBy>
  <cp:lastPrinted>2024-04-04T18:35:00Z</cp:lastPrinted>
  <dcterms:modified xsi:type="dcterms:W3CDTF">2024-04-12T10:53:07Z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64ED536ABA5942D5B8DAF9057CF6DF16_13</vt:lpwstr>
  </property>
</Properties>
</file>