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color w:val="auto"/>
          <w:sz w:val="32"/>
          <w:szCs w:val="32"/>
          <w:lang w:val="en-US" w:eastAsia="zh-CN"/>
        </w:rPr>
      </w:pPr>
    </w:p>
    <w:p>
      <w:pPr>
        <w:pStyle w:val="2"/>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color w:val="auto"/>
          <w:lang w:eastAsia="zh-CN"/>
        </w:rPr>
      </w:pPr>
      <w:bookmarkStart w:id="0" w:name="_Toc13158_WPSOffice_Level1"/>
      <w:r>
        <w:rPr>
          <w:rFonts w:hint="eastAsia" w:ascii="方正小标宋简体" w:hAnsi="方正小标宋简体" w:eastAsia="方正小标宋简体" w:cs="方正小标宋简体"/>
          <w:b w:val="0"/>
          <w:bCs/>
          <w:color w:val="auto"/>
          <w:lang w:eastAsia="zh-CN"/>
        </w:rPr>
        <w:t>贵州省新型工业化发展基金</w:t>
      </w:r>
      <w:r>
        <w:rPr>
          <w:rFonts w:hint="eastAsia" w:ascii="方正小标宋简体" w:hAnsi="方正小标宋简体" w:eastAsia="方正小标宋简体" w:cs="方正小标宋简体"/>
          <w:b w:val="0"/>
          <w:bCs/>
          <w:color w:val="auto"/>
          <w:lang w:val="en-US" w:eastAsia="zh-CN"/>
        </w:rPr>
        <w:t>专项基金</w:t>
      </w:r>
      <w:r>
        <w:rPr>
          <w:rFonts w:hint="eastAsia" w:ascii="方正小标宋简体" w:hAnsi="方正小标宋简体" w:eastAsia="方正小标宋简体" w:cs="方正小标宋简体"/>
          <w:b w:val="0"/>
          <w:bCs/>
          <w:color w:val="auto"/>
          <w:lang w:eastAsia="zh-CN"/>
        </w:rPr>
        <w:t>管理人</w:t>
      </w:r>
    </w:p>
    <w:p>
      <w:pPr>
        <w:pStyle w:val="2"/>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lang w:val="en-US"/>
        </w:rPr>
      </w:pPr>
      <w:r>
        <w:rPr>
          <w:rFonts w:hint="eastAsia" w:ascii="方正小标宋简体" w:hAnsi="方正小标宋简体" w:eastAsia="方正小标宋简体" w:cs="方正小标宋简体"/>
          <w:b w:val="0"/>
          <w:bCs/>
          <w:color w:val="auto"/>
          <w:lang w:eastAsia="zh-CN"/>
        </w:rPr>
        <w:t>公开遴选方案</w:t>
      </w:r>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Ansi="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为进一步做好贵州省新型工业化发展基金（以下简称工业化基金）专项基金管理人公开遴选工作，充分发挥省级政府投资基金引导带动作用和杠杆放大效应，按照《省人民政府办公厅关于印发〈省级政府投资基金优化整合实施方案&gt;的通知》（黔府办发〔2021〕9号）等要求，特制定工业化基金专项基金管理人公开遴选方案：</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600" w:lineRule="exact"/>
        <w:ind w:left="0" w:leftChars="0" w:right="0" w:rightChars="0" w:firstLine="640" w:firstLineChars="200"/>
        <w:jc w:val="both"/>
        <w:textAlignment w:val="auto"/>
        <w:rPr>
          <w:rFonts w:hint="eastAsia" w:ascii="黑体" w:hAnsi="Times New Roman" w:eastAsia="黑体" w:cs="黑体"/>
          <w:color w:val="auto"/>
          <w:szCs w:val="32"/>
          <w:lang w:val="en-US"/>
        </w:rPr>
      </w:pPr>
      <w:bookmarkStart w:id="1" w:name="_Toc11384_WPSOffice_Level1"/>
      <w:r>
        <w:rPr>
          <w:rFonts w:hint="eastAsia" w:ascii="黑体" w:hAnsi="Times New Roman" w:eastAsia="黑体" w:cs="黑体"/>
          <w:color w:val="auto"/>
          <w:kern w:val="2"/>
          <w:sz w:val="32"/>
          <w:szCs w:val="32"/>
          <w:lang w:val="en-US" w:eastAsia="zh-CN" w:bidi="ar"/>
        </w:rPr>
        <w:t>一、基本原则</w:t>
      </w:r>
    </w:p>
    <w:p>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600" w:lineRule="exact"/>
        <w:ind w:left="0" w:right="0" w:rightChars="0" w:firstLine="640" w:firstLineChars="200"/>
        <w:jc w:val="both"/>
        <w:textAlignment w:val="auto"/>
        <w:rPr>
          <w:rFonts w:hAnsi="仿宋_GB2312" w:cs="仿宋_GB2312"/>
          <w:color w:val="auto"/>
          <w:szCs w:val="32"/>
          <w:lang w:val="en-US"/>
        </w:rPr>
      </w:pPr>
      <w:r>
        <w:rPr>
          <w:rFonts w:hint="eastAsia" w:ascii="楷体_GB2312" w:hAnsi="楷体_GB2312" w:eastAsia="楷体_GB2312" w:cs="楷体_GB2312"/>
          <w:bCs/>
          <w:color w:val="auto"/>
          <w:kern w:val="2"/>
          <w:sz w:val="32"/>
          <w:szCs w:val="32"/>
          <w:lang w:val="en-US" w:eastAsia="zh-CN" w:bidi="ar"/>
        </w:rPr>
        <w:t>（一）依法依规。</w:t>
      </w:r>
      <w:r>
        <w:rPr>
          <w:rFonts w:hint="eastAsia" w:ascii="仿宋_GB2312" w:hAnsi="仿宋_GB2312" w:eastAsia="仿宋_GB2312" w:cs="仿宋_GB2312"/>
          <w:color w:val="auto"/>
          <w:kern w:val="2"/>
          <w:sz w:val="32"/>
          <w:szCs w:val="32"/>
          <w:lang w:val="en-US" w:eastAsia="zh-CN" w:bidi="ar"/>
        </w:rPr>
        <w:t>专项基金管理人公开遴选应符合《政府投资基金暂行管理办法》《私募投资基金监督管理暂行办法》等法律法规的要求。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Ansi="仿宋_GB2312" w:cs="仿宋_GB2312"/>
          <w:color w:val="auto"/>
          <w:szCs w:val="32"/>
          <w:lang w:val="en-US"/>
        </w:rPr>
      </w:pPr>
      <w:r>
        <w:rPr>
          <w:rFonts w:hint="eastAsia" w:ascii="楷体_GB2312" w:hAnsi="楷体_GB2312" w:eastAsia="楷体_GB2312" w:cs="楷体_GB2312"/>
          <w:bCs/>
          <w:color w:val="auto"/>
          <w:kern w:val="2"/>
          <w:sz w:val="32"/>
          <w:szCs w:val="32"/>
          <w:lang w:val="en-US" w:eastAsia="zh-CN" w:bidi="ar"/>
        </w:rPr>
        <w:t>（二）公正公平。</w:t>
      </w:r>
      <w:r>
        <w:rPr>
          <w:rFonts w:hint="eastAsia" w:ascii="仿宋_GB2312" w:hAnsi="仿宋_GB2312" w:eastAsia="仿宋_GB2312" w:cs="仿宋_GB2312"/>
          <w:color w:val="auto"/>
          <w:kern w:val="2"/>
          <w:sz w:val="32"/>
          <w:szCs w:val="32"/>
          <w:lang w:val="en-US" w:eastAsia="zh-CN" w:bidi="ar"/>
        </w:rPr>
        <w:t>符合申请资格的管理人均可递交资料参与遴选，工业化基金按统一标准进行遴选。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黑体"/>
          <w:color w:val="auto"/>
          <w:szCs w:val="32"/>
          <w:lang w:val="en-US"/>
        </w:rPr>
      </w:pPr>
      <w:r>
        <w:rPr>
          <w:rFonts w:hint="eastAsia" w:ascii="黑体" w:hAnsi="宋体" w:eastAsia="黑体" w:cs="黑体"/>
          <w:bCs/>
          <w:color w:val="auto"/>
          <w:kern w:val="2"/>
          <w:sz w:val="32"/>
          <w:szCs w:val="32"/>
          <w:lang w:val="en-US" w:eastAsia="zh-CN" w:bidi="ar"/>
        </w:rPr>
        <w:t>二、</w:t>
      </w:r>
      <w:bookmarkEnd w:id="1"/>
      <w:r>
        <w:rPr>
          <w:rFonts w:hint="eastAsia" w:ascii="黑体" w:hAnsi="宋体" w:eastAsia="黑体" w:cs="黑体"/>
          <w:color w:val="auto"/>
          <w:kern w:val="2"/>
          <w:sz w:val="32"/>
          <w:szCs w:val="32"/>
          <w:lang w:val="en-US" w:eastAsia="zh-CN" w:bidi="ar"/>
        </w:rPr>
        <w:t>专项基金管理人申报条件</w:t>
      </w:r>
    </w:p>
    <w:p>
      <w:pPr>
        <w:pStyle w:val="10"/>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0"/>
        <w:rPr>
          <w:rFonts w:hint="eastAsia" w:ascii="楷体_GB2312" w:hAnsi="楷体_GB2312" w:eastAsia="楷体_GB2312" w:cs="楷体_GB2312"/>
          <w:bCs/>
          <w:color w:val="auto"/>
          <w:szCs w:val="32"/>
          <w:lang w:eastAsia="zh-CN"/>
        </w:rPr>
      </w:pPr>
      <w:bookmarkStart w:id="2" w:name="_Toc27632_WPSOffice_Level1"/>
      <w:r>
        <w:rPr>
          <w:rFonts w:hint="eastAsia" w:ascii="楷体_GB2312" w:hAnsi="楷体_GB2312" w:eastAsia="楷体_GB2312" w:cs="楷体_GB2312"/>
          <w:bCs/>
          <w:color w:val="auto"/>
          <w:szCs w:val="32"/>
          <w:lang w:eastAsia="zh-CN"/>
        </w:rPr>
        <w:t>（一）申报要求</w:t>
      </w:r>
    </w:p>
    <w:p>
      <w:pPr>
        <w:pStyle w:val="10"/>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管理机构。管理机构应为依法设立且取得中国证券投资基金业协会私募基金管理人资质；在贵州省内设有总部或办事机构；实收资本不低于</w:t>
      </w:r>
      <w:r>
        <w:rPr>
          <w:rFonts w:hint="eastAsia" w:ascii="仿宋_GB2312" w:hAnsi="仿宋_GB2312" w:eastAsia="仿宋_GB2312" w:cs="仿宋_GB2312"/>
          <w:bCs/>
          <w:color w:val="auto"/>
          <w:szCs w:val="32"/>
          <w:lang w:val="en-US"/>
        </w:rPr>
        <w:t>1000</w:t>
      </w:r>
      <w:r>
        <w:rPr>
          <w:rFonts w:hint="eastAsia" w:ascii="仿宋_GB2312" w:hAnsi="仿宋_GB2312" w:eastAsia="仿宋_GB2312" w:cs="仿宋_GB2312"/>
          <w:bCs/>
          <w:color w:val="auto"/>
          <w:szCs w:val="32"/>
          <w:lang w:eastAsia="zh-CN"/>
        </w:rPr>
        <w:t>万元人民币；未被中国证券投资基金业协会列为异常机构且不存在不良诚信记录等情形，最近三年不存在重大违法违规行为，并符合其他法律法规规定的相关要求。</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2.</w:t>
      </w:r>
      <w:r>
        <w:rPr>
          <w:rFonts w:hint="eastAsia" w:ascii="仿宋_GB2312" w:hAnsi="仿宋_GB2312" w:eastAsia="仿宋_GB2312" w:cs="仿宋_GB2312"/>
          <w:bCs/>
          <w:color w:val="auto"/>
          <w:szCs w:val="32"/>
          <w:lang w:eastAsia="zh-CN"/>
        </w:rPr>
        <w:t>管理团队。至少有</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名具备</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年以上股权投资经验或相关行业经验的高级管理人员常驻贵州，并有与所申报</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基金规模相匹配的专属管理团队，且熟悉申报</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基金投资领域相关产业及行业情况；有成功募资到位</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亿元以上的既往业绩；高级管理人员最近</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年无重大违法行为，未有受过行政主管机关或司法机关处罚的不良记录。</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投资能力。管理团队具备良好的投资能力，至少有</w:t>
      </w:r>
      <w:r>
        <w:rPr>
          <w:rFonts w:hint="eastAsia" w:ascii="仿宋_GB2312" w:hAnsi="仿宋_GB2312" w:eastAsia="仿宋_GB2312" w:cs="仿宋_GB2312"/>
          <w:bCs/>
          <w:color w:val="auto"/>
          <w:szCs w:val="32"/>
          <w:lang w:val="en-US"/>
        </w:rPr>
        <w:t>3</w:t>
      </w:r>
      <w:r>
        <w:rPr>
          <w:rFonts w:hint="eastAsia" w:ascii="仿宋_GB2312" w:hAnsi="仿宋_GB2312" w:eastAsia="仿宋_GB2312" w:cs="仿宋_GB2312"/>
          <w:bCs/>
          <w:color w:val="auto"/>
          <w:szCs w:val="32"/>
          <w:lang w:eastAsia="zh-CN"/>
        </w:rPr>
        <w:t>个股权投资成功案例，</w:t>
      </w: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个及以上成功退出案例。管理机构原则上平行出资不低于</w:t>
      </w:r>
      <w:r>
        <w:rPr>
          <w:rFonts w:hint="eastAsia" w:hAnsi="仿宋_GB2312" w:cs="仿宋_GB2312"/>
          <w:bCs/>
          <w:color w:val="auto"/>
          <w:szCs w:val="32"/>
          <w:lang w:val="en-US" w:eastAsia="zh-CN"/>
        </w:rPr>
        <w:t>专项</w:t>
      </w:r>
      <w:r>
        <w:rPr>
          <w:rFonts w:hint="eastAsia" w:ascii="仿宋_GB2312" w:hAnsi="仿宋_GB2312" w:eastAsia="仿宋_GB2312" w:cs="仿宋_GB2312"/>
          <w:bCs/>
          <w:color w:val="auto"/>
          <w:szCs w:val="32"/>
          <w:lang w:eastAsia="zh-CN"/>
        </w:rPr>
        <w:t>基金认缴规模的</w:t>
      </w:r>
      <w:r>
        <w:rPr>
          <w:rFonts w:hint="eastAsia" w:ascii="仿宋_GB2312" w:hAnsi="仿宋_GB2312" w:eastAsia="仿宋_GB2312" w:cs="仿宋_GB2312"/>
          <w:bCs/>
          <w:color w:val="auto"/>
          <w:szCs w:val="32"/>
          <w:lang w:val="en-US"/>
        </w:rPr>
        <w:t>1%</w:t>
      </w:r>
      <w:r>
        <w:rPr>
          <w:rFonts w:hint="eastAsia" w:ascii="仿宋_GB2312" w:hAnsi="仿宋_GB2312" w:eastAsia="仿宋_GB2312" w:cs="仿宋_GB2312"/>
          <w:bCs/>
          <w:color w:val="auto"/>
          <w:szCs w:val="32"/>
          <w:lang w:eastAsia="zh-CN"/>
        </w:rPr>
        <w:t>。</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4.</w:t>
      </w:r>
      <w:r>
        <w:rPr>
          <w:rFonts w:hint="eastAsia" w:ascii="仿宋_GB2312" w:hAnsi="仿宋_GB2312" w:eastAsia="仿宋_GB2312" w:cs="仿宋_GB2312"/>
          <w:bCs/>
          <w:color w:val="auto"/>
          <w:szCs w:val="32"/>
          <w:lang w:eastAsia="zh-CN"/>
        </w:rPr>
        <w:t>募资能力。</w:t>
      </w:r>
      <w:r>
        <w:rPr>
          <w:rFonts w:hint="eastAsia" w:ascii="仿宋_GB2312" w:hAnsi="仿宋_GB2312" w:eastAsia="仿宋_GB2312" w:cs="仿宋_GB2312"/>
          <w:bCs/>
          <w:color w:val="auto"/>
          <w:szCs w:val="32"/>
          <w:lang w:val="en-US" w:eastAsia="zh-CN"/>
        </w:rPr>
        <w:t>基金</w:t>
      </w:r>
      <w:r>
        <w:rPr>
          <w:rFonts w:hint="eastAsia" w:ascii="仿宋_GB2312" w:hAnsi="仿宋_GB2312" w:eastAsia="仿宋_GB2312" w:cs="仿宋_GB2312"/>
          <w:bCs/>
          <w:color w:val="auto"/>
          <w:szCs w:val="32"/>
          <w:lang w:eastAsia="zh-CN"/>
        </w:rPr>
        <w:t>管理人具有较强募资能力，</w:t>
      </w:r>
      <w:r>
        <w:rPr>
          <w:rFonts w:hint="eastAsia" w:ascii="仿宋_GB2312" w:hAnsi="仿宋_GB2312" w:eastAsia="仿宋_GB2312" w:cs="仿宋_GB2312"/>
          <w:bCs/>
          <w:color w:val="auto"/>
          <w:szCs w:val="32"/>
          <w:lang w:val="en-US" w:eastAsia="zh-CN"/>
        </w:rPr>
        <w:t>募集资金不低于财政出资的</w:t>
      </w:r>
      <w:r>
        <w:rPr>
          <w:rFonts w:hint="eastAsia" w:hAnsi="仿宋_GB2312" w:cs="仿宋_GB2312"/>
          <w:bCs/>
          <w:color w:val="auto"/>
          <w:szCs w:val="32"/>
          <w:lang w:val="en-US" w:eastAsia="zh-CN"/>
        </w:rPr>
        <w:t>1</w:t>
      </w:r>
      <w:r>
        <w:rPr>
          <w:rFonts w:hint="eastAsia" w:ascii="仿宋_GB2312" w:hAnsi="仿宋_GB2312" w:eastAsia="仿宋_GB2312" w:cs="仿宋_GB2312"/>
          <w:bCs/>
          <w:color w:val="auto"/>
          <w:szCs w:val="32"/>
          <w:lang w:val="en-US" w:eastAsia="zh-CN"/>
        </w:rPr>
        <w:t>倍，各出资人采取认缴制按比例同步到位，</w:t>
      </w:r>
      <w:r>
        <w:rPr>
          <w:rFonts w:hint="eastAsia" w:ascii="仿宋_GB2312" w:hAnsi="仿宋_GB2312" w:eastAsia="仿宋_GB2312" w:cs="仿宋_GB2312"/>
          <w:bCs/>
          <w:color w:val="auto"/>
          <w:szCs w:val="32"/>
          <w:lang w:eastAsia="zh-CN"/>
        </w:rPr>
        <w:t>基金存续期限不得低于</w:t>
      </w:r>
      <w:r>
        <w:rPr>
          <w:rFonts w:hint="eastAsia" w:ascii="仿宋_GB2312" w:hAnsi="仿宋_GB2312" w:eastAsia="仿宋_GB2312" w:cs="仿宋_GB2312"/>
          <w:bCs/>
          <w:color w:val="auto"/>
          <w:szCs w:val="32"/>
          <w:lang w:val="en-US" w:eastAsia="zh-CN"/>
        </w:rPr>
        <w:t>5</w:t>
      </w:r>
      <w:r>
        <w:rPr>
          <w:rFonts w:hint="eastAsia" w:ascii="仿宋_GB2312" w:hAnsi="仿宋_GB2312" w:eastAsia="仿宋_GB2312" w:cs="仿宋_GB2312"/>
          <w:bCs/>
          <w:color w:val="auto"/>
          <w:szCs w:val="32"/>
          <w:lang w:eastAsia="zh-CN"/>
        </w:rPr>
        <w:t>年。</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int="eastAsia" w:ascii="仿宋_GB2312" w:hAnsi="仿宋_GB2312" w:eastAsia="仿宋_GB2312" w:cs="仿宋_GB2312"/>
          <w:bCs/>
          <w:color w:val="auto"/>
          <w:szCs w:val="32"/>
          <w:lang w:val="en-US"/>
        </w:rPr>
      </w:pPr>
      <w:r>
        <w:rPr>
          <w:rFonts w:hint="eastAsia" w:ascii="仿宋_GB2312" w:hAnsi="仿宋_GB2312" w:eastAsia="仿宋_GB2312" w:cs="仿宋_GB2312"/>
          <w:bCs/>
          <w:color w:val="auto"/>
          <w:szCs w:val="32"/>
          <w:lang w:val="en-US"/>
        </w:rPr>
        <w:t>5.</w:t>
      </w:r>
      <w:r>
        <w:rPr>
          <w:rFonts w:hint="eastAsia" w:ascii="仿宋_GB2312" w:hAnsi="仿宋_GB2312" w:eastAsia="仿宋_GB2312" w:cs="仿宋_GB2312"/>
          <w:bCs/>
          <w:color w:val="auto"/>
          <w:szCs w:val="32"/>
          <w:lang w:eastAsia="zh-CN"/>
        </w:rPr>
        <w:t>风险控制。应有完善的风险管理体系，管理和投资运作规范，具有完整的投资决策程序、全面的风险控制机制和健全的财务管理制度。</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int="eastAsia" w:ascii="楷体_GB2312" w:hAnsi="楷体_GB2312" w:eastAsia="楷体_GB2312" w:cs="楷体_GB2312"/>
          <w:bCs/>
          <w:color w:val="auto"/>
          <w:szCs w:val="32"/>
          <w:lang w:val="en-US" w:eastAsia="zh-CN"/>
        </w:rPr>
      </w:pPr>
      <w:r>
        <w:rPr>
          <w:rFonts w:hint="eastAsia" w:ascii="楷体_GB2312" w:hAnsi="楷体_GB2312" w:eastAsia="楷体_GB2312" w:cs="楷体_GB2312"/>
          <w:bCs/>
          <w:color w:val="auto"/>
          <w:szCs w:val="32"/>
          <w:lang w:eastAsia="zh-CN"/>
        </w:rPr>
        <w:t>（二）申报材料</w:t>
      </w:r>
      <w:bookmarkEnd w:id="2"/>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eastAsia="zh-CN"/>
        </w:rPr>
        <w:t>申报材料包括但不限于以下材料（纸质版四套，并提供电子版），并按照顺序编排目录和页码装订成册，加盖相关单位印章。</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1.</w:t>
      </w:r>
      <w:r>
        <w:rPr>
          <w:rFonts w:hAnsi="仿宋_GB2312" w:cs="仿宋_GB2312"/>
          <w:bCs/>
          <w:color w:val="auto"/>
          <w:szCs w:val="32"/>
          <w:lang w:eastAsia="zh-CN"/>
        </w:rPr>
        <w:t>拟申请设立的</w:t>
      </w:r>
      <w:r>
        <w:rPr>
          <w:rFonts w:hint="eastAsia" w:hAnsi="仿宋_GB2312" w:cs="仿宋_GB2312"/>
          <w:bCs/>
          <w:color w:val="auto"/>
          <w:szCs w:val="32"/>
          <w:lang w:val="en-US" w:eastAsia="zh-CN"/>
        </w:rPr>
        <w:t>专项</w:t>
      </w:r>
      <w:r>
        <w:rPr>
          <w:rFonts w:hAnsi="仿宋_GB2312" w:cs="仿宋_GB2312"/>
          <w:bCs/>
          <w:color w:val="auto"/>
          <w:szCs w:val="32"/>
          <w:lang w:eastAsia="zh-CN"/>
        </w:rPr>
        <w:t>基金申请书（详见附件</w:t>
      </w:r>
      <w:r>
        <w:rPr>
          <w:rFonts w:hAnsi="仿宋_GB2312" w:cs="仿宋_GB2312"/>
          <w:bCs/>
          <w:color w:val="auto"/>
          <w:szCs w:val="32"/>
          <w:lang w:val="en-US"/>
        </w:rPr>
        <w:t>1</w:t>
      </w:r>
      <w:r>
        <w:rPr>
          <w:rFonts w:hAnsi="仿宋_GB2312" w:cs="仿宋_GB2312"/>
          <w:bCs/>
          <w:color w:val="auto"/>
          <w:szCs w:val="32"/>
          <w:lang w:eastAsia="zh-CN"/>
        </w:rPr>
        <w:t>）。</w:t>
      </w:r>
      <w:r>
        <w:rPr>
          <w:rFonts w:hint="eastAsia" w:hAnsi="仿宋_GB2312" w:cs="仿宋_GB2312"/>
          <w:bCs/>
          <w:color w:val="auto"/>
          <w:szCs w:val="32"/>
          <w:lang w:val="en-US" w:eastAsia="zh-CN"/>
        </w:rPr>
        <w:t>专项</w:t>
      </w:r>
      <w:r>
        <w:rPr>
          <w:rFonts w:hAnsi="仿宋_GB2312" w:cs="仿宋_GB2312"/>
          <w:bCs/>
          <w:color w:val="auto"/>
          <w:szCs w:val="32"/>
          <w:lang w:eastAsia="zh-CN"/>
        </w:rPr>
        <w:t>基金申请书包含整体构架、资金募集、管理人情况、管理团队、投资策略、投资计划、决策机制、投后管理、退出机制、风险防范措施等基本内容，并提供相关附件</w:t>
      </w:r>
      <w:r>
        <w:rPr>
          <w:rFonts w:hint="eastAsia" w:hAnsi="仿宋_GB2312" w:cs="仿宋_GB2312"/>
          <w:bCs/>
          <w:color w:val="auto"/>
          <w:szCs w:val="32"/>
          <w:lang w:eastAsia="zh-CN"/>
        </w:rPr>
        <w:t>；</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2.</w:t>
      </w:r>
      <w:r>
        <w:rPr>
          <w:rFonts w:hAnsi="仿宋_GB2312" w:cs="仿宋_GB2312"/>
          <w:bCs/>
          <w:color w:val="auto"/>
          <w:szCs w:val="32"/>
          <w:lang w:eastAsia="zh-CN"/>
        </w:rPr>
        <w:t>申报人资格文件。行业主管部门颁发的相关资质证书、管理基金总规模不低于</w:t>
      </w:r>
      <w:r>
        <w:rPr>
          <w:rFonts w:hAnsi="仿宋_GB2312" w:cs="仿宋_GB2312"/>
          <w:bCs/>
          <w:color w:val="auto"/>
          <w:szCs w:val="32"/>
          <w:lang w:val="en-US"/>
        </w:rPr>
        <w:t>3</w:t>
      </w:r>
      <w:r>
        <w:rPr>
          <w:rFonts w:hAnsi="仿宋_GB2312" w:cs="仿宋_GB2312"/>
          <w:bCs/>
          <w:color w:val="auto"/>
          <w:szCs w:val="32"/>
          <w:lang w:eastAsia="zh-CN"/>
        </w:rPr>
        <w:t>亿元的基金产品的相关证明、核心管理团队不少于</w:t>
      </w:r>
      <w:r>
        <w:rPr>
          <w:rFonts w:hAnsi="仿宋_GB2312" w:cs="仿宋_GB2312"/>
          <w:bCs/>
          <w:color w:val="auto"/>
          <w:szCs w:val="32"/>
          <w:lang w:val="en-US"/>
        </w:rPr>
        <w:t>3</w:t>
      </w:r>
      <w:r>
        <w:rPr>
          <w:rFonts w:hAnsi="仿宋_GB2312" w:cs="仿宋_GB2312"/>
          <w:bCs/>
          <w:color w:val="auto"/>
          <w:szCs w:val="32"/>
          <w:lang w:eastAsia="zh-CN"/>
        </w:rPr>
        <w:t>名具备</w:t>
      </w:r>
      <w:r>
        <w:rPr>
          <w:rFonts w:hAnsi="仿宋_GB2312" w:cs="仿宋_GB2312"/>
          <w:bCs/>
          <w:color w:val="auto"/>
          <w:szCs w:val="32"/>
          <w:lang w:val="en-US"/>
        </w:rPr>
        <w:t>3</w:t>
      </w:r>
      <w:r>
        <w:rPr>
          <w:rFonts w:hAnsi="仿宋_GB2312" w:cs="仿宋_GB2312"/>
          <w:bCs/>
          <w:color w:val="auto"/>
          <w:szCs w:val="32"/>
          <w:lang w:eastAsia="zh-CN"/>
        </w:rPr>
        <w:t>年以上股权投资或相关投资经验的专职高级管理人员简历、社保记录、近三年内无司法机关和行业行政主管机关处罚等不良记录的承诺函</w:t>
      </w:r>
      <w:r>
        <w:rPr>
          <w:rFonts w:hint="eastAsia" w:hAnsi="仿宋_GB2312" w:cs="仿宋_GB2312"/>
          <w:bCs/>
          <w:color w:val="auto"/>
          <w:szCs w:val="32"/>
          <w:lang w:eastAsia="zh-CN"/>
        </w:rPr>
        <w:t>；</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3.</w:t>
      </w:r>
      <w:r>
        <w:rPr>
          <w:rFonts w:hAnsi="仿宋_GB2312" w:cs="仿宋_GB2312"/>
          <w:bCs/>
          <w:color w:val="auto"/>
          <w:szCs w:val="32"/>
          <w:lang w:eastAsia="zh-CN"/>
        </w:rPr>
        <w:t>募资能力证明。拟募集的资金数额（</w:t>
      </w:r>
      <w:r>
        <w:rPr>
          <w:rFonts w:hint="eastAsia" w:ascii="仿宋_GB2312" w:hAnsi="仿宋_GB2312" w:eastAsia="仿宋_GB2312" w:cs="仿宋_GB2312"/>
          <w:i w:val="0"/>
          <w:caps w:val="0"/>
          <w:color w:val="auto"/>
          <w:spacing w:val="0"/>
          <w:sz w:val="32"/>
          <w:szCs w:val="32"/>
          <w:shd w:val="clear" w:fill="FFFFFF"/>
          <w:lang w:val="en-US" w:eastAsia="zh-CN"/>
        </w:rPr>
        <w:t>基金管理人募集资金不低于财政出资的</w:t>
      </w:r>
      <w:r>
        <w:rPr>
          <w:rFonts w:hint="eastAsia" w:hAnsi="仿宋_GB2312" w:cs="仿宋_GB2312"/>
          <w:i w:val="0"/>
          <w:caps w:val="0"/>
          <w:color w:val="auto"/>
          <w:spacing w:val="0"/>
          <w:sz w:val="32"/>
          <w:szCs w:val="32"/>
          <w:shd w:val="clear" w:fill="FFFFFF"/>
          <w:lang w:val="en-US" w:eastAsia="zh-CN"/>
        </w:rPr>
        <w:t>1</w:t>
      </w:r>
      <w:bookmarkStart w:id="9" w:name="_GoBack"/>
      <w:bookmarkEnd w:id="9"/>
      <w:r>
        <w:rPr>
          <w:rFonts w:hint="eastAsia" w:ascii="仿宋_GB2312" w:hAnsi="仿宋_GB2312" w:eastAsia="仿宋_GB2312" w:cs="仿宋_GB2312"/>
          <w:i w:val="0"/>
          <w:caps w:val="0"/>
          <w:color w:val="auto"/>
          <w:spacing w:val="0"/>
          <w:sz w:val="32"/>
          <w:szCs w:val="32"/>
          <w:shd w:val="clear" w:fill="FFFFFF"/>
          <w:lang w:val="en-US" w:eastAsia="zh-CN"/>
        </w:rPr>
        <w:t>倍</w:t>
      </w:r>
      <w:r>
        <w:rPr>
          <w:rFonts w:hAnsi="仿宋_GB2312" w:cs="仿宋_GB2312"/>
          <w:bCs/>
          <w:color w:val="auto"/>
          <w:szCs w:val="32"/>
          <w:lang w:eastAsia="zh-CN"/>
        </w:rPr>
        <w:t>），需提供相应投资人出资的承诺函</w:t>
      </w:r>
      <w:r>
        <w:rPr>
          <w:rFonts w:hint="eastAsia" w:hAnsi="仿宋_GB2312" w:cs="仿宋_GB2312"/>
          <w:bCs/>
          <w:color w:val="auto"/>
          <w:szCs w:val="32"/>
          <w:lang w:val="en-US" w:eastAsia="zh-CN"/>
        </w:rPr>
        <w:t>或相关证明材料；</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4.</w:t>
      </w:r>
      <w:r>
        <w:rPr>
          <w:rFonts w:hAnsi="仿宋_GB2312" w:cs="仿宋_GB2312"/>
          <w:bCs/>
          <w:color w:val="auto"/>
          <w:szCs w:val="32"/>
          <w:lang w:eastAsia="zh-CN"/>
        </w:rPr>
        <w:t>其他证明申报人资质及实力的文件、证书及承诺等。</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Ansi="仿宋_GB2312" w:cs="仿宋_GB2312"/>
          <w:bCs/>
          <w:color w:val="auto"/>
          <w:szCs w:val="32"/>
          <w:lang w:val="en-US"/>
        </w:rPr>
        <w:t>5.</w:t>
      </w:r>
      <w:r>
        <w:rPr>
          <w:rFonts w:hAnsi="仿宋_GB2312" w:cs="仿宋_GB2312"/>
          <w:bCs/>
          <w:color w:val="auto"/>
          <w:szCs w:val="32"/>
          <w:lang w:eastAsia="zh-CN"/>
        </w:rPr>
        <w:t>《</w:t>
      </w:r>
      <w:r>
        <w:rPr>
          <w:rFonts w:hint="eastAsia" w:hAnsi="仿宋_GB2312" w:cs="仿宋_GB2312"/>
          <w:bCs/>
          <w:color w:val="auto"/>
          <w:szCs w:val="32"/>
          <w:lang w:val="en-US" w:eastAsia="zh-CN"/>
        </w:rPr>
        <w:t>专项</w:t>
      </w:r>
      <w:r>
        <w:rPr>
          <w:rFonts w:hAnsi="仿宋_GB2312" w:cs="仿宋_GB2312"/>
          <w:bCs/>
          <w:color w:val="auto"/>
          <w:szCs w:val="32"/>
          <w:lang w:eastAsia="zh-CN"/>
        </w:rPr>
        <w:t>基金出资承诺函》（详见附件</w:t>
      </w:r>
      <w:r>
        <w:rPr>
          <w:rFonts w:hAnsi="仿宋_GB2312" w:cs="仿宋_GB2312"/>
          <w:bCs/>
          <w:color w:val="auto"/>
          <w:szCs w:val="32"/>
          <w:lang w:val="en-US"/>
        </w:rPr>
        <w:t>2</w:t>
      </w:r>
      <w:r>
        <w:rPr>
          <w:rFonts w:hAnsi="仿宋_GB2312" w:cs="仿宋_GB2312"/>
          <w:bCs/>
          <w:color w:val="auto"/>
          <w:szCs w:val="32"/>
          <w:lang w:eastAsia="zh-CN"/>
        </w:rPr>
        <w:t>）；</w:t>
      </w:r>
    </w:p>
    <w:p>
      <w:pPr>
        <w:keepNext/>
        <w:keepLines w:val="0"/>
        <w:pageBreakBefore w:val="0"/>
        <w:widowControl w:val="0"/>
        <w:suppressLineNumbers w:val="0"/>
        <w:kinsoku/>
        <w:wordWrap w:val="0"/>
        <w:overflowPunct/>
        <w:topLinePunct w:val="0"/>
        <w:autoSpaceDE/>
        <w:autoSpaceDN/>
        <w:bidi w:val="0"/>
        <w:spacing w:before="0" w:beforeAutospacing="0" w:after="0" w:afterAutospacing="0" w:line="600" w:lineRule="exact"/>
        <w:ind w:left="0" w:right="0" w:firstLine="640" w:firstLineChars="200"/>
        <w:jc w:val="both"/>
        <w:textAlignment w:val="auto"/>
        <w:outlineLvl w:val="0"/>
        <w:rPr>
          <w:rFonts w:hint="eastAsia" w:ascii="黑体" w:hAnsi="宋体" w:eastAsia="黑体" w:cs="黑体"/>
          <w:color w:val="auto"/>
          <w:sz w:val="30"/>
          <w:szCs w:val="30"/>
          <w:shd w:val="clear" w:fill="FFFFFF"/>
          <w:lang w:val="en-US"/>
        </w:rPr>
      </w:pPr>
      <w:r>
        <w:rPr>
          <w:rFonts w:hint="eastAsia" w:ascii="仿宋_GB2312" w:hAnsi="仿宋_GB2312" w:eastAsia="仿宋_GB2312" w:cs="仿宋_GB2312"/>
          <w:bCs/>
          <w:color w:val="auto"/>
          <w:kern w:val="2"/>
          <w:sz w:val="32"/>
          <w:szCs w:val="32"/>
          <w:lang w:val="en-US" w:eastAsia="zh-CN" w:bidi="ar"/>
        </w:rPr>
        <w:t>6.</w:t>
      </w:r>
      <w:r>
        <w:rPr>
          <w:rFonts w:hint="eastAsia" w:ascii="仿宋_GB2312" w:hAnsi="仿宋_GB2312" w:eastAsia="仿宋_GB2312" w:cs="仿宋_GB2312"/>
          <w:color w:val="auto"/>
          <w:kern w:val="2"/>
          <w:sz w:val="32"/>
          <w:szCs w:val="32"/>
          <w:lang w:val="en-US" w:eastAsia="zh-CN" w:bidi="ar"/>
        </w:rPr>
        <w:t>申请人真实性承诺函（详见附件3）；</w:t>
      </w:r>
    </w:p>
    <w:p>
      <w:pPr>
        <w:pStyle w:val="10"/>
        <w:keepLines w:val="0"/>
        <w:pageBreakBefore w:val="0"/>
        <w:widowControl/>
        <w:kinsoku/>
        <w:overflowPunct/>
        <w:topLinePunct w:val="0"/>
        <w:autoSpaceDE/>
        <w:autoSpaceDN/>
        <w:bidi w:val="0"/>
        <w:spacing w:line="600" w:lineRule="exact"/>
        <w:ind w:left="0" w:firstLine="640" w:firstLineChars="200"/>
        <w:textAlignment w:val="auto"/>
        <w:outlineLvl w:val="0"/>
        <w:rPr>
          <w:rFonts w:hAnsi="仿宋_GB2312" w:cs="仿宋_GB2312"/>
          <w:bCs/>
          <w:color w:val="auto"/>
          <w:szCs w:val="32"/>
          <w:lang w:val="en-US"/>
        </w:rPr>
      </w:pPr>
      <w:r>
        <w:rPr>
          <w:rFonts w:hint="eastAsia" w:hAnsi="仿宋_GB2312" w:cs="仿宋_GB2312"/>
          <w:bCs/>
          <w:color w:val="auto"/>
          <w:szCs w:val="32"/>
          <w:lang w:val="en-US" w:eastAsia="zh-CN"/>
        </w:rPr>
        <w:t>7</w:t>
      </w:r>
      <w:r>
        <w:rPr>
          <w:rFonts w:hAnsi="仿宋_GB2312" w:cs="仿宋_GB2312"/>
          <w:bCs/>
          <w:color w:val="auto"/>
          <w:szCs w:val="32"/>
          <w:lang w:val="en-US"/>
        </w:rPr>
        <w:t>.</w:t>
      </w:r>
      <w:r>
        <w:rPr>
          <w:rFonts w:hAnsi="仿宋_GB2312" w:cs="仿宋_GB2312"/>
          <w:bCs/>
          <w:color w:val="auto"/>
          <w:szCs w:val="32"/>
          <w:lang w:eastAsia="zh-CN"/>
        </w:rPr>
        <w:t>需提供相关材料的清单（详见附件</w:t>
      </w:r>
      <w:r>
        <w:rPr>
          <w:rFonts w:hint="eastAsia" w:hAnsi="仿宋_GB2312" w:cs="仿宋_GB2312"/>
          <w:bCs/>
          <w:color w:val="auto"/>
          <w:szCs w:val="32"/>
          <w:lang w:val="en-US" w:eastAsia="zh-CN"/>
        </w:rPr>
        <w:t>4</w:t>
      </w:r>
      <w:r>
        <w:rPr>
          <w:rFonts w:hAnsi="仿宋_GB2312" w:cs="仿宋_GB2312"/>
          <w:bCs/>
          <w:color w:val="auto"/>
          <w:szCs w:val="32"/>
          <w:lang w:eastAsia="zh-CN"/>
        </w:rPr>
        <w:t>）</w:t>
      </w:r>
      <w:r>
        <w:rPr>
          <w:rFonts w:hint="eastAsia" w:hAnsi="仿宋_GB2312" w:cs="仿宋_GB2312"/>
          <w:bCs/>
          <w:color w:val="auto"/>
          <w:szCs w:val="32"/>
          <w:lang w:eastAsia="zh-CN"/>
        </w:rPr>
        <w:t>。</w:t>
      </w:r>
    </w:p>
    <w:p>
      <w:pPr>
        <w:keepNext/>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宋体" w:eastAsia="黑体" w:cs="黑体"/>
          <w:color w:val="auto"/>
          <w:lang w:val="en-US"/>
        </w:rPr>
      </w:pPr>
      <w:r>
        <w:rPr>
          <w:rFonts w:hint="eastAsia" w:ascii="黑体" w:hAnsi="宋体" w:eastAsia="黑体" w:cs="黑体"/>
          <w:color w:val="auto"/>
          <w:kern w:val="2"/>
          <w:sz w:val="32"/>
          <w:szCs w:val="22"/>
          <w:lang w:val="en-US" w:eastAsia="zh-CN" w:bidi="ar"/>
        </w:rPr>
        <w:t>三、工作程序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Ansi="仿宋_GB2312" w:cs="仿宋_GB2312"/>
          <w:color w:val="auto"/>
          <w:szCs w:val="32"/>
          <w:shd w:val="clear" w:fill="FFFFFF"/>
          <w:lang w:val="en-US"/>
        </w:rPr>
      </w:pPr>
      <w:r>
        <w:rPr>
          <w:rFonts w:hint="eastAsia" w:ascii="楷体_GB2312" w:hAnsi="楷体_GB2312" w:eastAsia="楷体_GB2312" w:cs="楷体_GB2312"/>
          <w:color w:val="auto"/>
          <w:kern w:val="2"/>
          <w:sz w:val="32"/>
          <w:szCs w:val="32"/>
          <w:shd w:val="clear" w:fill="FFFFFF"/>
          <w:lang w:val="en-US" w:eastAsia="zh-CN" w:bidi="ar"/>
        </w:rPr>
        <w:t>（一）公开征集。</w:t>
      </w:r>
      <w:r>
        <w:rPr>
          <w:rFonts w:hint="eastAsia" w:ascii="仿宋_GB2312" w:hAnsi="仿宋_GB2312" w:eastAsia="仿宋_GB2312" w:cs="仿宋_GB2312"/>
          <w:color w:val="auto"/>
          <w:kern w:val="2"/>
          <w:sz w:val="32"/>
          <w:szCs w:val="32"/>
          <w:shd w:val="clear" w:fill="FFFFFF"/>
          <w:lang w:val="en-US" w:eastAsia="zh-CN" w:bidi="ar"/>
        </w:rPr>
        <w:t>工作协调组办公室公开征集专项基金管理人，初步筛选后，将意向专项基金管理人推荐给母基金（新型工业化基金）管理人。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lang w:val="en-US"/>
        </w:rPr>
      </w:pPr>
      <w:r>
        <w:rPr>
          <w:rFonts w:hint="eastAsia" w:ascii="楷体_GB2312" w:hAnsi="楷体_GB2312" w:eastAsia="楷体_GB2312" w:cs="楷体_GB2312"/>
          <w:color w:val="auto"/>
          <w:kern w:val="2"/>
          <w:sz w:val="32"/>
          <w:szCs w:val="32"/>
          <w:shd w:val="clear" w:fill="FFFFFF"/>
          <w:lang w:val="en-US" w:eastAsia="zh-CN" w:bidi="ar"/>
        </w:rPr>
        <w:t>（二）尽职调查。</w:t>
      </w:r>
      <w:r>
        <w:rPr>
          <w:rFonts w:hint="eastAsia" w:ascii="仿宋_GB2312" w:hAnsi="仿宋_GB2312" w:eastAsia="仿宋_GB2312" w:cs="仿宋_GB2312"/>
          <w:color w:val="auto"/>
          <w:kern w:val="2"/>
          <w:sz w:val="32"/>
          <w:szCs w:val="32"/>
          <w:shd w:val="clear" w:fill="FFFFFF"/>
          <w:lang w:val="en-US" w:eastAsia="zh-CN" w:bidi="ar"/>
        </w:rPr>
        <w:t>母基金管理人对工作协调组办公室推荐的专项基金管理人开展尽职调查，出具尽职调查及建议报告。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楷体_GB2312" w:hAnsi="楷体_GB2312" w:eastAsia="楷体_GB2312" w:cs="楷体_GB2312"/>
          <w:color w:val="auto"/>
          <w:kern w:val="2"/>
          <w:sz w:val="32"/>
          <w:szCs w:val="32"/>
          <w:shd w:val="clear" w:fill="FFFFFF"/>
          <w:lang w:val="en-US" w:eastAsia="zh-CN" w:bidi="ar"/>
        </w:rPr>
        <w:t>（三）投资决策。</w:t>
      </w:r>
      <w:r>
        <w:rPr>
          <w:rFonts w:hint="eastAsia" w:ascii="仿宋_GB2312" w:hAnsi="仿宋_GB2312" w:eastAsia="仿宋_GB2312" w:cs="仿宋_GB2312"/>
          <w:color w:val="auto"/>
          <w:kern w:val="2"/>
          <w:sz w:val="32"/>
          <w:szCs w:val="32"/>
          <w:shd w:val="clear" w:fill="FFFFFF"/>
          <w:lang w:val="en-US" w:eastAsia="zh-CN" w:bidi="ar"/>
        </w:rPr>
        <w:t>母基金管理人组织召开工业化基金投委会，对拟设立的专项基金管理人尽职调查及投资建议报告进行投资决策，结果报工作协调组办公室审议后，由工作协调组办公室报管委会办公室审批。</w:t>
      </w:r>
    </w:p>
    <w:p>
      <w:pPr>
        <w:keepLines w:val="0"/>
        <w:pageBreakBefore w:val="0"/>
        <w:kinsoku/>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楷体_GB2312" w:hAnsi="楷体_GB2312" w:eastAsia="楷体_GB2312" w:cs="楷体_GB2312"/>
          <w:color w:val="auto"/>
          <w:kern w:val="2"/>
          <w:sz w:val="32"/>
          <w:szCs w:val="32"/>
          <w:shd w:val="clear" w:fill="FFFFFF"/>
          <w:lang w:val="en-US" w:eastAsia="zh-CN" w:bidi="ar"/>
        </w:rPr>
        <w:t>（四）结果公告。</w:t>
      </w:r>
      <w:r>
        <w:rPr>
          <w:rFonts w:hint="eastAsia" w:ascii="Times New Roman" w:hAnsi="Times New Roman" w:eastAsia="仿宋_GB2312" w:cs="Times New Roman"/>
          <w:color w:val="auto"/>
          <w:kern w:val="2"/>
          <w:sz w:val="32"/>
          <w:szCs w:val="32"/>
          <w:shd w:val="clear" w:fill="FFFFFF"/>
          <w:lang w:val="en-US" w:eastAsia="zh-CN" w:bidi="ar"/>
        </w:rPr>
        <w:t>评审结果通过原申报渠道进行公告</w:t>
      </w:r>
      <w:r>
        <w:rPr>
          <w:rFonts w:hint="eastAsia" w:ascii="仿宋_GB2312" w:hAnsi="仿宋_GB2312" w:eastAsia="仿宋_GB2312" w:cs="仿宋_GB2312"/>
          <w:color w:val="auto"/>
          <w:kern w:val="2"/>
          <w:sz w:val="32"/>
          <w:szCs w:val="32"/>
          <w:shd w:val="clear" w:fill="FFFFFF"/>
          <w:lang w:val="en-US" w:eastAsia="zh-CN" w:bidi="ar"/>
        </w:rPr>
        <w:t>。</w:t>
      </w:r>
    </w:p>
    <w:p>
      <w:pPr>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kern w:val="2"/>
          <w:sz w:val="32"/>
          <w:szCs w:val="32"/>
          <w:shd w:val="clear" w:fill="FFFFFF"/>
          <w:lang w:val="en-US" w:eastAsia="zh-CN" w:bidi="ar"/>
        </w:rPr>
        <w:br w:type="page"/>
      </w:r>
    </w:p>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right="0" w:rightChars="0"/>
        <w:jc w:val="left"/>
        <w:textAlignment w:val="auto"/>
        <w:outlineLvl w:val="0"/>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附件1</w:t>
      </w:r>
    </w:p>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right="0" w:rightChars="0"/>
        <w:jc w:val="left"/>
        <w:textAlignment w:val="auto"/>
        <w:outlineLvl w:val="0"/>
        <w:rPr>
          <w:rFonts w:hint="eastAsia" w:ascii="黑体" w:hAnsi="黑体" w:eastAsia="黑体" w:cs="黑体"/>
          <w:color w:val="auto"/>
          <w:kern w:val="2"/>
          <w:sz w:val="32"/>
          <w:szCs w:val="32"/>
          <w:lang w:val="en-US" w:eastAsia="zh-CN" w:bidi="ar"/>
        </w:rPr>
      </w:pPr>
    </w:p>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eastAsia" w:ascii="黑体" w:hAnsi="黑体" w:eastAsia="黑体" w:cs="黑体"/>
          <w:b w:val="0"/>
          <w:bCs w:val="0"/>
          <w:i w:val="0"/>
          <w:caps w:val="0"/>
          <w:color w:val="auto"/>
          <w:spacing w:val="0"/>
          <w:sz w:val="30"/>
          <w:szCs w:val="30"/>
          <w:highlight w:val="none"/>
          <w:lang w:val="en-US" w:eastAsia="zh-CN"/>
        </w:rPr>
      </w:pPr>
      <w:r>
        <w:rPr>
          <w:rFonts w:hint="eastAsia" w:ascii="方正小标宋简体" w:hAnsi="方正小标宋简体" w:eastAsia="方正小标宋简体" w:cs="方正小标宋简体"/>
          <w:color w:val="auto"/>
          <w:kern w:val="2"/>
          <w:sz w:val="44"/>
          <w:szCs w:val="44"/>
          <w:lang w:val="en-US" w:eastAsia="zh-CN" w:bidi="ar"/>
        </w:rPr>
        <w:t>贵州省XX产业发展专项基金设立申请书</w:t>
      </w:r>
    </w:p>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0" w:beforeAutospacing="0" w:after="0" w:afterAutospacing="0" w:line="560" w:lineRule="exact"/>
        <w:ind w:left="0" w:leftChars="0" w:right="0" w:rightChars="0" w:firstLine="480" w:firstLineChars="200"/>
        <w:jc w:val="right"/>
        <w:textAlignment w:val="auto"/>
        <w:outlineLvl w:val="1"/>
        <w:rPr>
          <w:rFonts w:hint="eastAsia" w:ascii="仿宋_GB2312" w:hAnsi="仿宋_GB2312" w:eastAsia="仿宋_GB2312" w:cs="仿宋_GB2312"/>
          <w:b w:val="0"/>
          <w:bCs w:val="0"/>
          <w:i w:val="0"/>
          <w:caps w:val="0"/>
          <w:color w:val="auto"/>
          <w:spacing w:val="0"/>
          <w:sz w:val="24"/>
          <w:szCs w:val="24"/>
          <w:highlight w:val="none"/>
        </w:rPr>
      </w:pPr>
      <w:bookmarkStart w:id="3" w:name="_Toc20658_WPSOffice_Level1"/>
      <w:r>
        <w:rPr>
          <w:rFonts w:hint="eastAsia" w:ascii="仿宋_GB2312" w:hAnsi="仿宋_GB2312" w:eastAsia="仿宋_GB2312" w:cs="仿宋_GB2312"/>
          <w:b w:val="0"/>
          <w:bCs w:val="0"/>
          <w:i w:val="0"/>
          <w:caps w:val="0"/>
          <w:color w:val="auto"/>
          <w:spacing w:val="0"/>
          <w:sz w:val="24"/>
          <w:szCs w:val="24"/>
          <w:highlight w:val="none"/>
          <w:shd w:val="clear" w:fill="FFFFFF"/>
        </w:rPr>
        <w:t>（公章）</w:t>
      </w:r>
      <w:bookmarkEnd w:id="3"/>
    </w:p>
    <w:tbl>
      <w:tblPr>
        <w:tblStyle w:val="6"/>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eastAsia" w:eastAsia="黑体"/>
                <w:b w:val="0"/>
                <w:bCs w:val="0"/>
                <w:color w:val="auto"/>
                <w:highlight w:val="none"/>
                <w:lang w:val="en-US" w:eastAsia="zh-CN"/>
              </w:rPr>
            </w:pPr>
            <w:r>
              <w:rPr>
                <w:rStyle w:val="8"/>
                <w:rFonts w:hint="eastAsia" w:ascii="黑体" w:hAnsi="黑体" w:eastAsia="黑体" w:cs="黑体"/>
                <w:b w:val="0"/>
                <w:bCs w:val="0"/>
                <w:i w:val="0"/>
                <w:caps w:val="0"/>
                <w:color w:val="auto"/>
                <w:spacing w:val="0"/>
                <w:sz w:val="28"/>
                <w:szCs w:val="28"/>
                <w:highlight w:val="none"/>
              </w:rPr>
              <w:t>一、申请机构</w:t>
            </w:r>
            <w:r>
              <w:rPr>
                <w:rStyle w:val="8"/>
                <w:rFonts w:hint="eastAsia" w:ascii="黑体" w:hAnsi="黑体" w:eastAsia="黑体" w:cs="黑体"/>
                <w:b w:val="0"/>
                <w:bCs w:val="0"/>
                <w:i w:val="0"/>
                <w:caps w:val="0"/>
                <w:color w:val="auto"/>
                <w:spacing w:val="0"/>
                <w:sz w:val="28"/>
                <w:szCs w:val="28"/>
                <w:highlight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万</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万</w:t>
            </w:r>
            <w:r>
              <w:rPr>
                <w:rFonts w:hint="eastAsia" w:ascii="仿宋_GB2312" w:hAnsi="仿宋_GB2312" w:eastAsia="仿宋_GB2312" w:cs="仿宋_GB2312"/>
                <w:b w:val="0"/>
                <w:bCs w:val="0"/>
                <w:i w:val="0"/>
                <w:caps w:val="0"/>
                <w:color w:val="auto"/>
                <w:spacing w:val="0"/>
                <w:sz w:val="28"/>
                <w:szCs w:val="2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r>
              <w:rPr>
                <w:rFonts w:hint="eastAsia" w:ascii="仿宋_GB2312" w:hAnsi="仿宋_GB2312" w:eastAsia="仿宋_GB2312" w:cs="仿宋_GB2312"/>
                <w:b w:val="0"/>
                <w:bCs w:val="0"/>
                <w:i w:val="0"/>
                <w:caps w:val="0"/>
                <w:color w:val="auto"/>
                <w:spacing w:val="0"/>
                <w:kern w:val="0"/>
                <w:sz w:val="28"/>
                <w:szCs w:val="28"/>
                <w:highlight w:val="none"/>
                <w:lang w:val="en-US" w:eastAsia="zh-CN"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r>
              <w:rPr>
                <w:rFonts w:hint="eastAsia" w:ascii="仿宋_GB2312" w:hAnsi="仿宋_GB2312" w:eastAsia="仿宋_GB2312" w:cs="仿宋_GB2312"/>
                <w:b w:val="0"/>
                <w:bCs w:val="0"/>
                <w:i w:val="0"/>
                <w:caps w:val="0"/>
                <w:color w:val="auto"/>
                <w:spacing w:val="0"/>
                <w:kern w:val="0"/>
                <w:sz w:val="28"/>
                <w:szCs w:val="28"/>
                <w:highlight w:val="none"/>
                <w:lang w:val="en-US" w:eastAsia="zh-CN"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righ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righ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righ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eastAsia="黑体"/>
                <w:b w:val="0"/>
                <w:bCs w:val="0"/>
                <w:color w:val="auto"/>
                <w:sz w:val="28"/>
                <w:szCs w:val="24"/>
                <w:highlight w:val="none"/>
                <w:lang w:eastAsia="zh-CN"/>
              </w:rPr>
            </w:pPr>
            <w:r>
              <w:rPr>
                <w:rStyle w:val="8"/>
                <w:rFonts w:hint="eastAsia" w:ascii="黑体" w:hAnsi="黑体" w:eastAsia="黑体" w:cs="黑体"/>
                <w:b w:val="0"/>
                <w:bCs w:val="0"/>
                <w:i w:val="0"/>
                <w:caps w:val="0"/>
                <w:color w:val="auto"/>
                <w:spacing w:val="0"/>
                <w:sz w:val="28"/>
                <w:szCs w:val="28"/>
                <w:highlight w:val="none"/>
              </w:rPr>
              <w:t>二、</w:t>
            </w:r>
            <w:r>
              <w:rPr>
                <w:rStyle w:val="8"/>
                <w:rFonts w:hint="eastAsia" w:ascii="黑体" w:hAnsi="黑体" w:eastAsia="黑体" w:cs="黑体"/>
                <w:b w:val="0"/>
                <w:bCs w:val="0"/>
                <w:i w:val="0"/>
                <w:caps w:val="0"/>
                <w:color w:val="auto"/>
                <w:spacing w:val="0"/>
                <w:sz w:val="28"/>
                <w:szCs w:val="28"/>
                <w:highlight w:val="none"/>
                <w:lang w:val="en-US" w:eastAsia="zh-CN"/>
              </w:rPr>
              <w:t>专项</w:t>
            </w:r>
            <w:r>
              <w:rPr>
                <w:rStyle w:val="8"/>
                <w:rFonts w:hint="eastAsia" w:ascii="黑体" w:hAnsi="黑体" w:eastAsia="黑体" w:cs="黑体"/>
                <w:b w:val="0"/>
                <w:bCs w:val="0"/>
                <w:i w:val="0"/>
                <w:caps w:val="0"/>
                <w:color w:val="auto"/>
                <w:spacing w:val="0"/>
                <w:sz w:val="28"/>
                <w:szCs w:val="28"/>
                <w:highlight w:val="none"/>
                <w:lang w:eastAsia="zh-CN"/>
              </w:rPr>
              <w:t>基金</w:t>
            </w:r>
            <w:r>
              <w:rPr>
                <w:rStyle w:val="8"/>
                <w:rFonts w:hint="eastAsia" w:ascii="黑体" w:hAnsi="黑体" w:eastAsia="黑体" w:cs="黑体"/>
                <w:b w:val="0"/>
                <w:bCs w:val="0"/>
                <w:i w:val="0"/>
                <w:caps w:val="0"/>
                <w:color w:val="auto"/>
                <w:spacing w:val="0"/>
                <w:sz w:val="28"/>
                <w:szCs w:val="28"/>
                <w:highlight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专项</w:t>
            </w:r>
            <w:r>
              <w:rPr>
                <w:rFonts w:hint="eastAsia" w:ascii="仿宋_GB2312" w:hAnsi="仿宋_GB2312" w:eastAsia="仿宋_GB2312" w:cs="仿宋_GB2312"/>
                <w:b w:val="0"/>
                <w:bCs w:val="0"/>
                <w:i w:val="0"/>
                <w:caps w:val="0"/>
                <w:color w:val="auto"/>
                <w:spacing w:val="0"/>
                <w:sz w:val="28"/>
                <w:szCs w:val="28"/>
                <w:highlight w:val="none"/>
                <w:lang w:eastAsia="zh-CN"/>
              </w:rPr>
              <w:t>基金</w:t>
            </w:r>
            <w:r>
              <w:rPr>
                <w:rFonts w:hint="eastAsia" w:ascii="仿宋_GB2312" w:hAnsi="仿宋_GB2312" w:eastAsia="仿宋_GB2312" w:cs="仿宋_GB2312"/>
                <w:b w:val="0"/>
                <w:bCs w:val="0"/>
                <w:i w:val="0"/>
                <w:caps w:val="0"/>
                <w:color w:val="auto"/>
                <w:spacing w:val="0"/>
                <w:sz w:val="28"/>
                <w:szCs w:val="28"/>
                <w:highlight w:val="none"/>
                <w:lang w:val="en-US" w:eastAsia="zh-CN"/>
              </w:rPr>
              <w:t>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专项</w:t>
            </w:r>
            <w:r>
              <w:rPr>
                <w:rFonts w:hint="eastAsia" w:ascii="仿宋_GB2312" w:hAnsi="仿宋_GB2312" w:eastAsia="仿宋_GB2312" w:cs="仿宋_GB2312"/>
                <w:b w:val="0"/>
                <w:bCs w:val="0"/>
                <w:i w:val="0"/>
                <w:caps w:val="0"/>
                <w:color w:val="auto"/>
                <w:spacing w:val="0"/>
                <w:sz w:val="28"/>
                <w:szCs w:val="28"/>
                <w:highlight w:val="none"/>
                <w:lang w:eastAsia="zh-CN"/>
              </w:rPr>
              <w:t>基金</w:t>
            </w:r>
            <w:r>
              <w:rPr>
                <w:rFonts w:hint="eastAsia" w:ascii="仿宋_GB2312" w:hAnsi="仿宋_GB2312" w:eastAsia="仿宋_GB2312" w:cs="仿宋_GB2312"/>
                <w:b w:val="0"/>
                <w:bCs w:val="0"/>
                <w:i w:val="0"/>
                <w:caps w:val="0"/>
                <w:color w:val="auto"/>
                <w:spacing w:val="0"/>
                <w:sz w:val="28"/>
                <w:szCs w:val="28"/>
                <w:highlight w:val="none"/>
              </w:rPr>
              <w:t>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亿</w:t>
            </w:r>
            <w:r>
              <w:rPr>
                <w:rFonts w:hint="eastAsia" w:ascii="仿宋_GB2312" w:hAnsi="仿宋_GB2312" w:eastAsia="仿宋_GB2312" w:cs="仿宋_GB2312"/>
                <w:b w:val="0"/>
                <w:bCs w:val="0"/>
                <w:i w:val="0"/>
                <w:caps w:val="0"/>
                <w:color w:val="auto"/>
                <w:spacing w:val="0"/>
                <w:sz w:val="28"/>
                <w:szCs w:val="28"/>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申请</w:t>
            </w:r>
            <w:r>
              <w:rPr>
                <w:rFonts w:hint="eastAsia" w:ascii="仿宋_GB2312" w:hAnsi="仿宋_GB2312" w:eastAsia="仿宋_GB2312" w:cs="仿宋_GB2312"/>
                <w:b w:val="0"/>
                <w:bCs w:val="0"/>
                <w:i w:val="0"/>
                <w:caps w:val="0"/>
                <w:color w:val="auto"/>
                <w:spacing w:val="0"/>
                <w:sz w:val="28"/>
                <w:szCs w:val="28"/>
                <w:highlight w:val="none"/>
                <w:lang w:val="en-US" w:eastAsia="zh-CN"/>
              </w:rPr>
              <w:t>工业化基金</w:t>
            </w:r>
            <w:r>
              <w:rPr>
                <w:rFonts w:hint="eastAsia" w:ascii="仿宋_GB2312" w:hAnsi="仿宋_GB2312" w:eastAsia="仿宋_GB2312" w:cs="仿宋_GB2312"/>
                <w:b w:val="0"/>
                <w:bCs w:val="0"/>
                <w:i w:val="0"/>
                <w:caps w:val="0"/>
                <w:color w:val="auto"/>
                <w:spacing w:val="0"/>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亿</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r>
              <w:rPr>
                <w:rFonts w:hint="eastAsia" w:ascii="仿宋_GB2312" w:hAnsi="仿宋_GB2312" w:eastAsia="仿宋_GB2312" w:cs="仿宋_GB2312"/>
                <w:b w:val="0"/>
                <w:bCs w:val="0"/>
                <w:i w:val="0"/>
                <w:caps w:val="0"/>
                <w:color w:val="auto"/>
                <w:spacing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计划募集社会资本</w:t>
            </w:r>
            <w:r>
              <w:rPr>
                <w:rFonts w:hint="eastAsia" w:ascii="仿宋_GB2312" w:hAnsi="仿宋_GB2312" w:eastAsia="仿宋_GB2312" w:cs="仿宋_GB2312"/>
                <w:b w:val="0"/>
                <w:bCs w:val="0"/>
                <w:i w:val="0"/>
                <w:caps w:val="0"/>
                <w:color w:val="auto"/>
                <w:spacing w:val="0"/>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亿</w:t>
            </w:r>
            <w:r>
              <w:rPr>
                <w:rFonts w:hint="eastAsia" w:ascii="仿宋_GB2312" w:hAnsi="仿宋_GB2312" w:eastAsia="仿宋_GB2312" w:cs="仿宋_GB2312"/>
                <w:b w:val="0"/>
                <w:bCs w:val="0"/>
                <w:i w:val="0"/>
                <w:caps w:val="0"/>
                <w:color w:val="auto"/>
                <w:spacing w:val="0"/>
                <w:sz w:val="28"/>
                <w:szCs w:val="28"/>
                <w:highlight w:val="none"/>
              </w:rPr>
              <w:t>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r>
              <w:rPr>
                <w:rFonts w:hint="eastAsia" w:ascii="仿宋_GB2312" w:hAnsi="仿宋_GB2312" w:eastAsia="仿宋_GB2312" w:cs="仿宋_GB2312"/>
                <w:b w:val="0"/>
                <w:bCs w:val="0"/>
                <w:i w:val="0"/>
                <w:caps w:val="0"/>
                <w:color w:val="auto"/>
                <w:spacing w:val="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仿宋_GB2312" w:hAnsi="仿宋_GB2312" w:eastAsia="仿宋_GB2312" w:cs="仿宋_GB2312"/>
                <w:b w:val="0"/>
                <w:bCs w:val="0"/>
                <w:i w:val="0"/>
                <w:caps w:val="0"/>
                <w:color w:val="auto"/>
                <w:spacing w:val="0"/>
                <w:sz w:val="28"/>
                <w:szCs w:val="28"/>
                <w:highlight w:val="none"/>
                <w:lang w:val="en-US" w:eastAsia="zh-CN"/>
              </w:rPr>
            </w:pPr>
            <w:r>
              <w:rPr>
                <w:rFonts w:hint="eastAsia" w:ascii="仿宋_GB2312" w:hAnsi="仿宋_GB2312" w:eastAsia="仿宋_GB2312" w:cs="仿宋_GB2312"/>
                <w:b w:val="0"/>
                <w:bCs w:val="0"/>
                <w:i w:val="0"/>
                <w:caps w:val="0"/>
                <w:color w:val="auto"/>
                <w:spacing w:val="0"/>
                <w:sz w:val="28"/>
                <w:szCs w:val="28"/>
                <w:highlight w:val="none"/>
                <w:lang w:val="en-US" w:eastAsia="zh-CN"/>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lang w:val="en-US" w:eastAsia="zh-CN"/>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eastAsia" w:ascii="仿宋_GB2312" w:hAnsi="仿宋_GB2312" w:eastAsia="仿宋_GB2312" w:cs="仿宋_GB2312"/>
                <w:b w:val="0"/>
                <w:bCs w:val="0"/>
                <w:i w:val="0"/>
                <w:caps w:val="0"/>
                <w:color w:val="auto"/>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default" w:ascii="仿宋_GB2312" w:hAnsi="仿宋_GB2312" w:eastAsia="仿宋_GB2312" w:cs="仿宋_GB2312"/>
                <w:b w:val="0"/>
                <w:bCs w:val="0"/>
                <w:i w:val="0"/>
                <w:caps w:val="0"/>
                <w:color w:val="auto"/>
                <w:spacing w:val="0"/>
                <w:sz w:val="24"/>
                <w:szCs w:val="24"/>
                <w:highlight w:val="none"/>
                <w:lang w:val="en-US"/>
              </w:rPr>
            </w:pPr>
            <w:r>
              <w:rPr>
                <w:rStyle w:val="8"/>
                <w:rFonts w:hint="eastAsia" w:ascii="黑体" w:hAnsi="黑体" w:eastAsia="黑体" w:cs="黑体"/>
                <w:b w:val="0"/>
                <w:bCs w:val="0"/>
                <w:i w:val="0"/>
                <w:caps w:val="0"/>
                <w:color w:val="auto"/>
                <w:spacing w:val="0"/>
                <w:sz w:val="28"/>
                <w:szCs w:val="28"/>
                <w:highlight w:val="none"/>
                <w:lang w:val="en-US" w:eastAsia="zh-CN"/>
              </w:rPr>
              <w:t>三</w:t>
            </w:r>
            <w:r>
              <w:rPr>
                <w:rStyle w:val="8"/>
                <w:rFonts w:hint="eastAsia" w:ascii="黑体" w:hAnsi="黑体" w:eastAsia="黑体" w:cs="黑体"/>
                <w:b w:val="0"/>
                <w:bCs w:val="0"/>
                <w:i w:val="0"/>
                <w:caps w:val="0"/>
                <w:color w:val="auto"/>
                <w:spacing w:val="0"/>
                <w:sz w:val="28"/>
                <w:szCs w:val="28"/>
                <w:highlight w:val="none"/>
              </w:rPr>
              <w:t>、</w:t>
            </w:r>
            <w:r>
              <w:rPr>
                <w:rStyle w:val="8"/>
                <w:rFonts w:hint="eastAsia" w:ascii="黑体" w:hAnsi="黑体" w:eastAsia="黑体" w:cs="黑体"/>
                <w:b w:val="0"/>
                <w:bCs w:val="0"/>
                <w:i w:val="0"/>
                <w:caps w:val="0"/>
                <w:color w:val="auto"/>
                <w:spacing w:val="0"/>
                <w:sz w:val="28"/>
                <w:szCs w:val="28"/>
                <w:highlight w:val="none"/>
                <w:lang w:val="en-US" w:eastAsia="zh-CN"/>
              </w:rPr>
              <w:t>专项</w:t>
            </w:r>
            <w:r>
              <w:rPr>
                <w:rStyle w:val="8"/>
                <w:rFonts w:hint="eastAsia" w:ascii="黑体" w:hAnsi="黑体" w:eastAsia="黑体" w:cs="黑体"/>
                <w:b w:val="0"/>
                <w:bCs w:val="0"/>
                <w:i w:val="0"/>
                <w:caps w:val="0"/>
                <w:color w:val="auto"/>
                <w:spacing w:val="0"/>
                <w:sz w:val="28"/>
                <w:szCs w:val="28"/>
                <w:highlight w:val="none"/>
                <w:lang w:eastAsia="zh-CN"/>
              </w:rPr>
              <w:t>基金</w:t>
            </w:r>
            <w:r>
              <w:rPr>
                <w:rStyle w:val="8"/>
                <w:rFonts w:hint="eastAsia" w:ascii="黑体" w:hAnsi="黑体" w:eastAsia="黑体" w:cs="黑体"/>
                <w:b w:val="0"/>
                <w:bCs w:val="0"/>
                <w:i w:val="0"/>
                <w:caps w:val="0"/>
                <w:color w:val="auto"/>
                <w:spacing w:val="0"/>
                <w:sz w:val="28"/>
                <w:szCs w:val="28"/>
                <w:highlight w:val="none"/>
                <w:lang w:val="en-US" w:eastAsia="zh-CN"/>
              </w:rPr>
              <w:t>组建方案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（一）基本情况</w:t>
            </w:r>
          </w:p>
          <w:p>
            <w:pPr>
              <w:pStyle w:val="5"/>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（拟设立</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基金的基本情况，包括但不限于：名称(暂定)、拟采用的组织架构、基金存续期（包括投资期、回收期）、经营范围、托管银行、主要股东或出资人简要背景。）</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（二）投资策略</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基金的投资领域（产业）及投资优势。）</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（三）管理费用、收益分配及清算</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（1、存续期不同阶段管理费的计提方法。2、</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基金的收益分配与亏损承担原则（有限合伙人与普通合伙人之间）。3、清算原则及方法。）</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（四）利益冲突和解决</w:t>
            </w:r>
            <w:r>
              <w:rPr>
                <w:rFonts w:hint="eastAsia" w:ascii="仿宋_GB2312" w:hAnsi="仿宋_GB2312" w:eastAsia="仿宋_GB2312" w:cs="仿宋_GB2312"/>
                <w:b w:val="0"/>
                <w:bCs w:val="0"/>
                <w:color w:val="auto"/>
                <w:sz w:val="28"/>
                <w:szCs w:val="28"/>
                <w:highlight w:val="none"/>
                <w:lang w:val="en-US" w:eastAsia="zh-CN"/>
              </w:rPr>
              <w:t>策略</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基金管理机构其它在管基金的利益冲突和解决方案。2、</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基金与管理团队个人投资的利益冲突和解决方案。）</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（五）资金募集计划</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基金募资计划，包括所有承诺出资人或意向出资人的名称、出资额及资金到位时间，</w:t>
            </w:r>
            <w:r>
              <w:rPr>
                <w:rFonts w:hint="eastAsia" w:ascii="仿宋_GB2312" w:hAnsi="仿宋_GB2312" w:eastAsia="仿宋_GB2312" w:cs="仿宋_GB2312"/>
                <w:b w:val="0"/>
                <w:bCs w:val="0"/>
                <w:color w:val="auto"/>
                <w:sz w:val="28"/>
                <w:szCs w:val="28"/>
                <w:highlight w:val="none"/>
                <w:lang w:val="en-US" w:eastAsia="zh-CN"/>
              </w:rPr>
              <w:t>如</w:t>
            </w:r>
            <w:r>
              <w:rPr>
                <w:rFonts w:hint="eastAsia" w:ascii="仿宋_GB2312" w:hAnsi="仿宋_GB2312" w:eastAsia="仿宋_GB2312" w:cs="仿宋_GB2312"/>
                <w:b w:val="0"/>
                <w:bCs w:val="0"/>
                <w:color w:val="auto"/>
                <w:sz w:val="28"/>
                <w:szCs w:val="28"/>
                <w:highlight w:val="none"/>
              </w:rPr>
              <w:t>出资人如有特殊投资条款请予以说明，</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基金管理机构承诺出资情况。）</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（六）储备项目情况</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楷体" w:hAnsi="楷体" w:eastAsia="楷体"/>
                <w:b w:val="0"/>
                <w:bCs w:val="0"/>
                <w:color w:val="auto"/>
                <w:sz w:val="22"/>
                <w:szCs w:val="28"/>
                <w:highlight w:val="none"/>
              </w:rPr>
            </w:pPr>
            <w:r>
              <w:rPr>
                <w:rFonts w:hint="eastAsia" w:ascii="仿宋_GB2312" w:hAnsi="仿宋_GB2312" w:eastAsia="仿宋_GB2312" w:cs="仿宋_GB2312"/>
                <w:b w:val="0"/>
                <w:bCs w:val="0"/>
                <w:color w:val="auto"/>
                <w:sz w:val="28"/>
                <w:szCs w:val="28"/>
                <w:highlight w:val="none"/>
              </w:rPr>
              <w:t>（储备项目基本情况，包括项目来源、企业名称、融资金额、主营业务、企业所处发展阶段、投资亮点等</w:t>
            </w:r>
            <w:r>
              <w:rPr>
                <w:rFonts w:hint="eastAsia" w:hAnsi="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jc w:val="center"/>
              <w:textAlignment w:val="auto"/>
              <w:rPr>
                <w:rFonts w:hint="eastAsia" w:ascii="仿宋_GB2312" w:hAnsi="仿宋_GB2312" w:eastAsia="仿宋_GB2312" w:cs="仿宋_GB2312"/>
                <w:b w:val="0"/>
                <w:bCs w:val="0"/>
                <w:color w:val="auto"/>
                <w:sz w:val="22"/>
                <w:szCs w:val="28"/>
                <w:highlight w:val="none"/>
              </w:rPr>
            </w:pPr>
            <w:r>
              <w:rPr>
                <w:rFonts w:hint="eastAsia" w:ascii="黑体" w:hAnsi="黑体" w:eastAsia="黑体"/>
                <w:b w:val="0"/>
                <w:bCs w:val="0"/>
                <w:color w:val="auto"/>
                <w:sz w:val="28"/>
                <w:szCs w:val="28"/>
                <w:highlight w:val="none"/>
                <w:lang w:val="en-US" w:eastAsia="zh-CN"/>
              </w:rPr>
              <w:t>四、专项</w:t>
            </w:r>
            <w:r>
              <w:rPr>
                <w:rFonts w:hint="eastAsia" w:ascii="黑体" w:hAnsi="黑体" w:eastAsia="黑体"/>
                <w:b w:val="0"/>
                <w:bCs w:val="0"/>
                <w:color w:val="auto"/>
                <w:sz w:val="28"/>
                <w:szCs w:val="28"/>
                <w:highlight w:val="none"/>
              </w:rPr>
              <w:t>基金管理机构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(一)</w:t>
            </w:r>
            <w:r>
              <w:rPr>
                <w:rFonts w:hint="eastAsia" w:ascii="仿宋_GB2312" w:hAnsi="仿宋_GB2312" w:eastAsia="仿宋_GB2312" w:cs="仿宋_GB2312"/>
                <w:b w:val="0"/>
                <w:bCs w:val="0"/>
                <w:color w:val="auto"/>
                <w:sz w:val="28"/>
                <w:szCs w:val="28"/>
                <w:highlight w:val="none"/>
                <w:lang w:val="en-US" w:eastAsia="zh-CN"/>
              </w:rPr>
              <w:t>专项</w:t>
            </w:r>
            <w:r>
              <w:rPr>
                <w:rFonts w:hint="eastAsia" w:ascii="仿宋_GB2312" w:hAnsi="仿宋_GB2312" w:eastAsia="仿宋_GB2312" w:cs="仿宋_GB2312"/>
                <w:b w:val="0"/>
                <w:bCs w:val="0"/>
                <w:color w:val="auto"/>
                <w:sz w:val="28"/>
                <w:szCs w:val="28"/>
                <w:highlight w:val="none"/>
              </w:rPr>
              <w:t>基金管理机构简介</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（包括：历史沿革、股东或出资人构成、组织管理结构、分支机构、主营业务、业绩情况、资质荣誉、专业领域经验和能力等，专业领域是指创业投资或私募股权投资领域。）</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（二）管理团队核心成员</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（管理团核心成员指管理机构合伙人、高级管理人员的大学及以上学习工作经历，在专业领域的经验或专长，资质荣耀等。至少3名具备</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年以上投资或相关业务经验的专职高级管理人员基本信息、从业经历。管理团队成员在企业中的管理分工。）</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（三）管理团队投资业绩</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（1、管理团队管理的其它基金情况：包括基金名称、基金规模、投资领域、投资阶段、投资地域、已完成投资、基金存续期、投资限制、管理费等。</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2、管理的基金投资项目情况</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不低于3个成功案例）</w:t>
            </w:r>
            <w:r>
              <w:rPr>
                <w:rFonts w:hint="eastAsia" w:ascii="仿宋_GB2312" w:hAnsi="仿宋_GB2312" w:eastAsia="仿宋_GB2312" w:cs="仿宋_GB2312"/>
                <w:b w:val="0"/>
                <w:bCs w:val="0"/>
                <w:color w:val="auto"/>
                <w:sz w:val="28"/>
                <w:szCs w:val="28"/>
                <w:highlight w:val="none"/>
              </w:rPr>
              <w:t>：包括投资基金名称、投资企业名称、投资金额、股权比例、投资时间、投资时企业状况、目前状况、是否退出、估值或收益情况等。）</w:t>
            </w:r>
          </w:p>
          <w:p>
            <w:pPr>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（四）内部管理与决策</w:t>
            </w:r>
          </w:p>
          <w:p>
            <w:pPr>
              <w:pStyle w:val="11"/>
              <w:keepNext/>
              <w:keepLines/>
              <w:pageBreakBefore w:val="0"/>
              <w:widowControl/>
              <w:suppressLineNumbers w:val="0"/>
              <w:kinsoku/>
              <w:overflowPunct/>
              <w:topLinePunct w:val="0"/>
              <w:autoSpaceDE/>
              <w:autoSpaceDN/>
              <w:bidi w:val="0"/>
              <w:adjustRightInd/>
              <w:snapToGrid/>
              <w:spacing w:before="0" w:beforeAutospacing="0" w:after="0" w:afterAutospacing="0" w:line="460" w:lineRule="exact"/>
              <w:ind w:left="0" w:leftChars="0" w:right="0" w:rightChars="0" w:firstLine="560" w:firstLineChars="200"/>
              <w:textAlignment w:val="auto"/>
              <w:rPr>
                <w:rFonts w:hint="eastAsia" w:ascii="楷体" w:hAnsi="楷体" w:eastAsia="楷体"/>
                <w:b w:val="0"/>
                <w:bCs w:val="0"/>
                <w:color w:val="auto"/>
                <w:sz w:val="22"/>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1、投资管理</w:t>
            </w:r>
            <w:r>
              <w:rPr>
                <w:rFonts w:hint="eastAsia" w:hAnsi="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项目源开发、</w:t>
            </w:r>
            <w:r>
              <w:rPr>
                <w:rFonts w:hint="eastAsia" w:ascii="仿宋_GB2312" w:hAnsi="仿宋_GB2312" w:eastAsia="仿宋_GB2312" w:cs="仿宋_GB2312"/>
                <w:b w:val="0"/>
                <w:bCs w:val="0"/>
                <w:color w:val="auto"/>
                <w:sz w:val="28"/>
                <w:szCs w:val="28"/>
                <w:highlight w:val="none"/>
              </w:rPr>
              <w:t>投资决策流程及方法，风险控制手段、投后管理及增值服务等）。2、内部分配机制（管理团队内部如何分配收益等）。3、激励约束机制。</w:t>
            </w:r>
            <w:r>
              <w:rPr>
                <w:rFonts w:hint="eastAsia" w:hAnsi="仿宋_GB2312" w:cs="仿宋_GB2312"/>
                <w:b w:val="0"/>
                <w:bCs w:val="0"/>
                <w:color w:val="auto"/>
                <w:sz w:val="28"/>
                <w:szCs w:val="28"/>
                <w:highlight w:val="none"/>
                <w:lang w:eastAsia="zh-CN"/>
              </w:rPr>
              <w:t>）</w:t>
            </w:r>
          </w:p>
        </w:tc>
      </w:tr>
    </w:tbl>
    <w:p>
      <w:pPr>
        <w:keepNext/>
        <w:keepLines/>
        <w:pageBreakBefore w:val="0"/>
        <w:widowControl/>
        <w:kinsoku/>
        <w:overflowPunct/>
        <w:topLinePunct w:val="0"/>
        <w:autoSpaceDE/>
        <w:autoSpaceDN/>
        <w:bidi w:val="0"/>
        <w:snapToGrid/>
        <w:spacing w:line="560" w:lineRule="exact"/>
        <w:ind w:left="0" w:leftChars="0" w:right="0" w:rightChars="0" w:firstLine="640" w:firstLineChars="200"/>
        <w:textAlignment w:val="auto"/>
        <w:rPr>
          <w:rStyle w:val="8"/>
          <w:rFonts w:hint="eastAsia" w:ascii="黑体" w:hAnsi="黑体" w:eastAsia="黑体" w:cs="黑体"/>
          <w:b w:val="0"/>
          <w:bCs w:val="0"/>
          <w:i w:val="0"/>
          <w:caps w:val="0"/>
          <w:color w:val="auto"/>
          <w:spacing w:val="0"/>
          <w:sz w:val="32"/>
          <w:szCs w:val="32"/>
          <w:highlight w:val="none"/>
          <w:shd w:val="clear" w:fill="FFFFFF"/>
        </w:rPr>
      </w:pPr>
      <w:r>
        <w:rPr>
          <w:rStyle w:val="8"/>
          <w:rFonts w:hint="eastAsia" w:ascii="黑体" w:hAnsi="黑体" w:eastAsia="黑体" w:cs="黑体"/>
          <w:b w:val="0"/>
          <w:bCs w:val="0"/>
          <w:i w:val="0"/>
          <w:caps w:val="0"/>
          <w:color w:val="auto"/>
          <w:spacing w:val="0"/>
          <w:sz w:val="32"/>
          <w:szCs w:val="32"/>
          <w:highlight w:val="none"/>
          <w:shd w:val="clear" w:fill="FFFFFF"/>
        </w:rPr>
        <w:br w:type="page"/>
      </w:r>
    </w:p>
    <w:p>
      <w:pPr>
        <w:keepNext/>
        <w:keepLines/>
        <w:pageBreakBefore w:val="0"/>
        <w:widowControl/>
        <w:suppressLineNumbers w:val="0"/>
        <w:kinsoku/>
        <w:overflowPunct/>
        <w:topLinePunct w:val="0"/>
        <w:autoSpaceDE/>
        <w:autoSpaceDN/>
        <w:bidi w:val="0"/>
        <w:snapToGrid/>
        <w:spacing w:before="0" w:beforeAutospacing="0" w:after="0" w:afterAutospacing="0"/>
        <w:ind w:right="0"/>
        <w:jc w:val="both"/>
        <w:textAlignment w:val="auto"/>
        <w:rPr>
          <w:rStyle w:val="8"/>
          <w:rFonts w:hint="default" w:ascii="黑体" w:hAnsi="黑体" w:eastAsia="黑体" w:cs="黑体"/>
          <w:b w:val="0"/>
          <w:bCs w:val="0"/>
          <w:i w:val="0"/>
          <w:caps w:val="0"/>
          <w:color w:val="auto"/>
          <w:spacing w:val="0"/>
          <w:kern w:val="0"/>
          <w:sz w:val="32"/>
          <w:szCs w:val="32"/>
          <w:highlight w:val="none"/>
          <w:shd w:val="clear" w:fill="FFFFFF"/>
          <w:lang w:val="en-US" w:eastAsia="zh-CN" w:bidi="ar-SA"/>
        </w:rPr>
      </w:pPr>
      <w:r>
        <w:rPr>
          <w:rStyle w:val="8"/>
          <w:rFonts w:hint="eastAsia" w:ascii="黑体" w:hAnsi="黑体" w:eastAsia="黑体" w:cs="黑体"/>
          <w:b w:val="0"/>
          <w:bCs w:val="0"/>
          <w:i w:val="0"/>
          <w:caps w:val="0"/>
          <w:color w:val="auto"/>
          <w:spacing w:val="0"/>
          <w:kern w:val="0"/>
          <w:sz w:val="32"/>
          <w:szCs w:val="32"/>
          <w:highlight w:val="none"/>
          <w:shd w:val="clear" w:fill="FFFFFF"/>
          <w:lang w:val="en-US" w:eastAsia="zh-CN" w:bidi="ar-SA"/>
        </w:rPr>
        <w:t>附件2</w:t>
      </w:r>
    </w:p>
    <w:p>
      <w:pPr>
        <w:keepNext/>
        <w:keepLines/>
        <w:pageBreakBefore w:val="0"/>
        <w:widowControl/>
        <w:suppressLineNumbers w:val="0"/>
        <w:kinsoku/>
        <w:overflowPunct/>
        <w:topLinePunct w:val="0"/>
        <w:autoSpaceDE/>
        <w:autoSpaceDN/>
        <w:bidi w:val="0"/>
        <w:snapToGrid/>
        <w:spacing w:before="0" w:beforeAutospacing="0" w:after="0" w:afterAutospacing="0"/>
        <w:ind w:left="0" w:leftChars="0" w:right="0" w:firstLine="800" w:firstLineChars="200"/>
        <w:jc w:val="center"/>
        <w:textAlignment w:val="auto"/>
        <w:rPr>
          <w:rFonts w:hint="eastAsia" w:ascii="方正小标宋简体" w:hAnsi="方正小标宋简体" w:eastAsia="方正小标宋简体" w:cs="方正小标宋简体"/>
          <w:color w:val="auto"/>
          <w:kern w:val="2"/>
          <w:sz w:val="40"/>
          <w:szCs w:val="40"/>
          <w:lang w:val="en-US" w:eastAsia="zh-CN" w:bidi="ar"/>
        </w:rPr>
      </w:pPr>
      <w:bookmarkStart w:id="4" w:name="_Hlk69929363"/>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贵州省XX专项基金出资承诺函</w:t>
      </w:r>
    </w:p>
    <w:bookmarkEnd w:id="4"/>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w:t>
      </w: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Calibri" w:hAnsi="Times New Roman" w:eastAsia="宋体" w:cs="Calibri"/>
          <w:color w:val="auto"/>
          <w:sz w:val="32"/>
          <w:szCs w:val="32"/>
          <w:lang w:val="en-US"/>
        </w:rPr>
      </w:pPr>
      <w:r>
        <w:rPr>
          <w:rFonts w:hint="eastAsia" w:ascii="仿宋_GB2312" w:hAnsi="Times New Roman" w:eastAsia="仿宋_GB2312" w:cs="Times New Roman"/>
          <w:color w:val="auto"/>
          <w:kern w:val="2"/>
          <w:sz w:val="32"/>
          <w:szCs w:val="32"/>
          <w:lang w:val="en-US" w:eastAsia="zh-CN" w:bidi="ar"/>
        </w:rPr>
        <w:t>贵州省新型工业化发展基金工作协调组办公室：</w:t>
      </w: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color w:val="auto"/>
          <w:sz w:val="32"/>
          <w:szCs w:val="32"/>
          <w:lang w:val="en-US"/>
        </w:rPr>
      </w:pPr>
      <w:r>
        <w:rPr>
          <w:rFonts w:hint="eastAsia" w:ascii="仿宋_GB2312" w:hAnsi="Times New Roman" w:eastAsia="仿宋_GB2312" w:cs="Times New Roman"/>
          <w:color w:val="auto"/>
          <w:kern w:val="2"/>
          <w:sz w:val="32"/>
          <w:szCs w:val="32"/>
          <w:lang w:val="en-US" w:eastAsia="zh-CN" w:bidi="ar"/>
        </w:rPr>
        <w:t>我单位承诺作为投资人，参与XX基金管理公司申请的XX产业发展专项基金的发起设立。我单位承诺在XX产业发展专项基金中认缴出资XX万元，</w:t>
      </w:r>
      <w:r>
        <w:rPr>
          <w:rFonts w:hint="eastAsia" w:ascii="仿宋_GB2312" w:hAnsi="仿宋_GB2312" w:eastAsia="仿宋_GB2312" w:cs="仿宋_GB2312"/>
          <w:i w:val="0"/>
          <w:caps w:val="0"/>
          <w:color w:val="auto"/>
          <w:spacing w:val="0"/>
          <w:sz w:val="32"/>
          <w:szCs w:val="32"/>
          <w:shd w:val="clear" w:fill="FFFFFF"/>
          <w:lang w:val="en-US" w:eastAsia="zh-CN"/>
        </w:rPr>
        <w:t>募集资金不低于财政出资的X倍，且平行出资不低于基金规模的1%</w:t>
      </w:r>
      <w:r>
        <w:rPr>
          <w:rFonts w:hint="eastAsia" w:ascii="仿宋_GB2312" w:hAnsi="Times New Roman" w:eastAsia="仿宋_GB2312" w:cs="Times New Roman"/>
          <w:color w:val="auto"/>
          <w:kern w:val="2"/>
          <w:sz w:val="32"/>
          <w:szCs w:val="32"/>
          <w:lang w:val="en-US" w:eastAsia="zh-CN" w:bidi="ar"/>
        </w:rPr>
        <w:t>。承诺XX产业发展专项基金投资项目时按照认缴出资比例与贵州省新型工业化发展基金（母基金）按比例同步出资（同步出资指先于或与贵州省新型工业化发展基金同日出资）。</w:t>
      </w: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color w:val="auto"/>
          <w:sz w:val="32"/>
          <w:szCs w:val="32"/>
          <w:lang w:val="en-US"/>
        </w:rPr>
      </w:pPr>
      <w:r>
        <w:rPr>
          <w:rFonts w:hint="eastAsia" w:ascii="仿宋_GB2312" w:hAnsi="Times New Roman" w:eastAsia="仿宋_GB2312" w:cs="Times New Roman"/>
          <w:color w:val="auto"/>
          <w:kern w:val="2"/>
          <w:sz w:val="32"/>
          <w:szCs w:val="32"/>
          <w:lang w:val="en-US" w:eastAsia="zh-CN" w:bidi="ar"/>
        </w:rPr>
        <w:t>特此承诺。</w:t>
      </w:r>
    </w:p>
    <w:p>
      <w:pPr>
        <w:pStyle w:val="5"/>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both"/>
        <w:textAlignment w:val="auto"/>
        <w:rPr>
          <w:color w:val="auto"/>
          <w:lang w:val="en-US"/>
        </w:rPr>
      </w:pP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both"/>
        <w:textAlignment w:val="auto"/>
        <w:rPr>
          <w:color w:val="auto"/>
          <w:lang w:val="en-US"/>
        </w:rPr>
      </w:pP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w:t>
      </w: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XX（签盖公章）</w:t>
      </w:r>
    </w:p>
    <w:p>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right"/>
        <w:textAlignment w:val="auto"/>
        <w:rPr>
          <w:color w:val="auto"/>
          <w:szCs w:val="32"/>
          <w:lang w:val="en-US"/>
        </w:rPr>
      </w:pPr>
      <w:r>
        <w:rPr>
          <w:rFonts w:hint="eastAsia" w:ascii="仿宋_GB2312" w:hAnsi="Times New Roman" w:eastAsia="仿宋_GB2312" w:cs="Times New Roman"/>
          <w:color w:val="auto"/>
          <w:kern w:val="2"/>
          <w:sz w:val="32"/>
          <w:szCs w:val="32"/>
          <w:lang w:val="en-US" w:eastAsia="zh-CN" w:bidi="ar"/>
        </w:rPr>
        <w:t xml:space="preserve">             2021年XX月XX日</w:t>
      </w:r>
    </w:p>
    <w:p>
      <w:pPr>
        <w:keepNext/>
        <w:keepLines/>
        <w:pageBreakBefore w:val="0"/>
        <w:widowControl/>
        <w:suppressLineNumbers w:val="0"/>
        <w:kinsoku/>
        <w:overflowPunct/>
        <w:topLinePunct w:val="0"/>
        <w:autoSpaceDE/>
        <w:autoSpaceDN/>
        <w:bidi w:val="0"/>
        <w:snapToGrid/>
        <w:spacing w:before="0" w:beforeAutospacing="0" w:after="0" w:afterAutospacing="0"/>
        <w:ind w:left="0" w:leftChars="0" w:right="0" w:firstLine="640" w:firstLineChars="200"/>
        <w:jc w:val="both"/>
        <w:textAlignment w:val="auto"/>
        <w:rPr>
          <w:rFonts w:hint="eastAsia" w:ascii="仿宋_GB2312" w:hAnsi="Times New Roman" w:eastAsia="仿宋_GB2312" w:cs="Times New Roman"/>
          <w:color w:val="auto"/>
          <w:kern w:val="2"/>
          <w:sz w:val="32"/>
          <w:szCs w:val="22"/>
          <w:lang w:val="en-US" w:eastAsia="zh-CN" w:bidi="ar"/>
        </w:rPr>
      </w:pPr>
      <w:r>
        <w:rPr>
          <w:rFonts w:hint="eastAsia" w:ascii="仿宋_GB2312" w:hAnsi="Times New Roman" w:eastAsia="仿宋_GB2312" w:cs="Times New Roman"/>
          <w:color w:val="auto"/>
          <w:kern w:val="2"/>
          <w:sz w:val="32"/>
          <w:szCs w:val="22"/>
          <w:lang w:val="en-US" w:eastAsia="zh-CN" w:bidi="ar"/>
        </w:rPr>
        <w:t xml:space="preserve"> </w:t>
      </w:r>
    </w:p>
    <w:p>
      <w:pPr>
        <w:pStyle w:val="9"/>
        <w:keepNext/>
        <w:keepLines/>
        <w:pageBreakBefore w:val="0"/>
        <w:widowControl/>
        <w:kinsoku/>
        <w:overflowPunct/>
        <w:topLinePunct w:val="0"/>
        <w:autoSpaceDE/>
        <w:autoSpaceDN/>
        <w:bidi w:val="0"/>
        <w:snapToGrid/>
        <w:ind w:left="0" w:leftChars="0" w:firstLine="640" w:firstLineChars="200"/>
        <w:textAlignment w:val="auto"/>
        <w:rPr>
          <w:color w:val="auto"/>
          <w:lang w:val="en-US"/>
        </w:rPr>
      </w:pPr>
    </w:p>
    <w:p>
      <w:pPr>
        <w:rPr>
          <w:lang w:val="en-US"/>
        </w:rPr>
      </w:pP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Autospacing="0" w:afterAutospacing="0" w:line="560" w:lineRule="exact"/>
        <w:ind w:right="0" w:rightChars="0"/>
        <w:jc w:val="both"/>
        <w:textAlignment w:val="auto"/>
        <w:outlineLvl w:val="0"/>
        <w:rPr>
          <w:rStyle w:val="8"/>
          <w:rFonts w:hint="default" w:ascii="黑体" w:hAnsi="黑体" w:eastAsia="黑体" w:cs="黑体"/>
          <w:b w:val="0"/>
          <w:bCs w:val="0"/>
          <w:i w:val="0"/>
          <w:caps w:val="0"/>
          <w:color w:val="auto"/>
          <w:spacing w:val="0"/>
          <w:kern w:val="0"/>
          <w:sz w:val="32"/>
          <w:szCs w:val="32"/>
          <w:highlight w:val="none"/>
          <w:u w:val="none"/>
          <w:shd w:val="clear" w:fill="FFFFFF"/>
          <w:lang w:val="en-US" w:eastAsia="zh-CN" w:bidi="ar-SA"/>
        </w:rPr>
      </w:pPr>
      <w:r>
        <w:rPr>
          <w:rStyle w:val="8"/>
          <w:rFonts w:hint="eastAsia" w:ascii="黑体" w:hAnsi="黑体" w:eastAsia="黑体" w:cs="黑体"/>
          <w:b w:val="0"/>
          <w:bCs w:val="0"/>
          <w:i w:val="0"/>
          <w:caps w:val="0"/>
          <w:color w:val="auto"/>
          <w:spacing w:val="0"/>
          <w:kern w:val="0"/>
          <w:sz w:val="32"/>
          <w:szCs w:val="32"/>
          <w:highlight w:val="none"/>
          <w:u w:val="none"/>
          <w:shd w:val="clear" w:fill="FFFFFF"/>
          <w:lang w:val="en-US" w:eastAsia="zh-CN" w:bidi="ar-SA"/>
        </w:rPr>
        <w:t>附件3</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snapToGrid/>
        <w:spacing w:beforeAutospacing="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kern w:val="2"/>
          <w:sz w:val="32"/>
          <w:szCs w:val="32"/>
          <w:lang w:val="en-US" w:eastAsia="zh-CN" w:bidi="ar"/>
        </w:rPr>
      </w:pP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2"/>
          <w:sz w:val="32"/>
          <w:szCs w:val="32"/>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申请人真实性承诺函</w:t>
      </w:r>
    </w:p>
    <w:p>
      <w:pPr>
        <w:pStyle w:val="9"/>
        <w:keepNext/>
        <w:keepLines/>
        <w:pageBreakBefore w:val="0"/>
        <w:widowControl/>
        <w:kinsoku/>
        <w:overflowPunct/>
        <w:topLinePunct w:val="0"/>
        <w:autoSpaceDE/>
        <w:autoSpaceDN/>
        <w:bidi w:val="0"/>
        <w:snapToGrid/>
        <w:ind w:left="0" w:leftChars="0" w:firstLine="640" w:firstLineChars="200"/>
        <w:textAlignment w:val="auto"/>
        <w:rPr>
          <w:rFonts w:hint="default"/>
          <w:color w:val="auto"/>
          <w:lang w:val="en-US" w:eastAsia="zh-CN"/>
        </w:rPr>
      </w:pP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right="0" w:rightChars="0"/>
        <w:jc w:val="both"/>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color w:val="auto"/>
          <w:sz w:val="32"/>
          <w:szCs w:val="32"/>
          <w:lang w:val="en-US" w:eastAsia="zh-CN"/>
        </w:rPr>
        <w:t>贵州省新型工业化发展基金工作协调组办公室</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本机构目前正在向贵司申请贵州省新型工业化发展基金（以下简称新型工业化基金）共同参与设立贵州省XX产业发展专项基金（以下简称专项基金），现就专项基金申请设立相关事宜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，作出以下说明和承诺：</w:t>
      </w:r>
    </w:p>
    <w:p>
      <w:pPr>
        <w:pStyle w:val="2"/>
        <w:keepNext/>
        <w:keepLines/>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一、本机构声明已充分知悉理解《贵州省新型工业化发展基金专项基金管理人公开遴选方案》及基金相关的法律、法规、管理办法等文件的规定，承诺本机构和</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基金申请方案符合前述文件规定的要求；本机构将继续遵守前述文件的规定，并承诺自</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基金设立之日起，将完全按照相关文件规定及协议约定管理基金事务。</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二、本机构为依法设立并有效存续的（有限责任公司、股份有限公司、合伙企业、事业单位或其他法律主体），不存在相关法律法规规定的终止事由。</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三、本机构自愿承担</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基金的募资工作，承诺自工业化基金投资决策通过后3个月内完成基金合伙协议（或公司章程）的签署工作；如</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基金未在上述期限内完成合伙协议（或公司章程）的签署工作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Hans" w:bidi="ar"/>
        </w:rPr>
        <w:t>或募集行为违规违法</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，本机构自愿放弃使用工业化基金承诺出资，并承担相应的法律责任。</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四、本机构相关人员提供的关于本机构、基金投资人、</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六、因</w:t>
      </w:r>
      <w:r>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t>专项</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基金及其管理机构违反《贵州省新型工业化发展基金管理暂行办法》《贵州省新型工业化发展基金专项基金管理人公开遴选方案》等相关规定导致工业化基金强制退出而产生的风险和损失，本机构自愿与关联方共同承担。</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七、如上述说明和承诺情况存在任何虚假或隐瞒，本机构将承担由此而产生的一切法律责任。同时，如贵司在专项基金设立后发现上述说明和承诺情况存在任何虚假或隐瞒，本机构愿承担由此而产生的包括但不限于以下法律责任：</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1.向工业化基金承担相应责任并赔偿由此对工业化基金造成的全部损失；</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2.依据专项基金《合伙协议》/《公司章程》/《委托管理协议》等规定承担相应的法律责任；</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3.承担其他与此相关的法律责任。</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特此承诺！</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560" w:lineRule="exact"/>
        <w:ind w:right="0" w:rightChars="0" w:firstLine="4160" w:firstLineChars="13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承诺人（公章、骑缝章）：</w:t>
      </w: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keepLines/>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法定代表人/执行事务合伙人（签字）：</w:t>
      </w:r>
    </w:p>
    <w:p>
      <w:pPr>
        <w:keepNext/>
        <w:keepLines/>
        <w:pageBreakBefore w:val="0"/>
        <w:widowControl/>
        <w:kinsoku/>
        <w:overflowPunct/>
        <w:topLinePunct w:val="0"/>
        <w:autoSpaceDE/>
        <w:autoSpaceDN/>
        <w:bidi w:val="0"/>
        <w:adjustRightInd w:val="0"/>
        <w:snapToGrid/>
        <w:spacing w:beforeAutospacing="0" w:afterAutospacing="0" w:line="560" w:lineRule="exact"/>
        <w:ind w:left="0" w:leftChars="0" w:right="0" w:rightChars="0" w:firstLine="640" w:firstLineChars="200"/>
        <w:jc w:val="right"/>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p>
    <w:p>
      <w:pPr>
        <w:keepNext/>
        <w:keepLines/>
        <w:pageBreakBefore w:val="0"/>
        <w:widowControl/>
        <w:kinsoku/>
        <w:overflowPunct/>
        <w:topLinePunct w:val="0"/>
        <w:autoSpaceDE/>
        <w:autoSpaceDN/>
        <w:bidi w:val="0"/>
        <w:adjustRightInd w:val="0"/>
        <w:snapToGrid/>
        <w:spacing w:beforeAutospacing="0" w:afterAutospacing="0" w:line="560" w:lineRule="exact"/>
        <w:ind w:left="0" w:leftChars="0" w:right="0" w:rightChars="0" w:firstLine="640" w:firstLineChars="200"/>
        <w:jc w:val="right"/>
        <w:textAlignment w:val="auto"/>
        <w:rPr>
          <w:rFonts w:hint="default"/>
          <w:color w:val="auto"/>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日期：    年  月  日</w:t>
      </w:r>
      <w:r>
        <w:rPr>
          <w:rStyle w:val="8"/>
          <w:rFonts w:hint="eastAsia" w:ascii="黑体" w:hAnsi="黑体" w:eastAsia="黑体" w:cs="黑体"/>
          <w:b w:val="0"/>
          <w:bCs w:val="0"/>
          <w:i w:val="0"/>
          <w:caps w:val="0"/>
          <w:color w:val="auto"/>
          <w:spacing w:val="0"/>
          <w:sz w:val="32"/>
          <w:szCs w:val="32"/>
          <w:highlight w:val="none"/>
          <w:shd w:val="clear" w:fill="FFFFFF"/>
        </w:rPr>
        <w:br w:type="page"/>
      </w:r>
    </w:p>
    <w:p>
      <w:pPr>
        <w:keepNext/>
        <w:keepLines/>
        <w:pageBreakBefore w:val="0"/>
        <w:widowControl/>
        <w:kinsoku/>
        <w:overflowPunct/>
        <w:topLinePunct w:val="0"/>
        <w:autoSpaceDE/>
        <w:autoSpaceDN/>
        <w:bidi w:val="0"/>
        <w:snapToGrid/>
        <w:spacing w:line="540" w:lineRule="exact"/>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附件</w:t>
      </w:r>
      <w:bookmarkStart w:id="5" w:name="_Toc32095_WPSOffice_Level1"/>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4</w:t>
      </w:r>
    </w:p>
    <w:bookmarkEnd w:id="5"/>
    <w:p>
      <w:pPr>
        <w:keepNext/>
        <w:keepLines/>
        <w:pageBreakBefore w:val="0"/>
        <w:widowControl/>
        <w:kinsoku/>
        <w:overflowPunct/>
        <w:topLinePunct w:val="0"/>
        <w:autoSpaceDE/>
        <w:autoSpaceDN/>
        <w:bidi w:val="0"/>
        <w:snapToGrid/>
        <w:spacing w:line="540" w:lineRule="exact"/>
        <w:ind w:left="0" w:leftChars="0" w:firstLine="600" w:firstLineChars="200"/>
        <w:jc w:val="center"/>
        <w:textAlignment w:val="auto"/>
        <w:rPr>
          <w:rStyle w:val="8"/>
          <w:rFonts w:hint="eastAsia" w:ascii="黑体" w:hAnsi="黑体" w:eastAsia="黑体" w:cs="黑体"/>
          <w:b w:val="0"/>
          <w:bCs w:val="0"/>
          <w:i w:val="0"/>
          <w:caps w:val="0"/>
          <w:color w:val="auto"/>
          <w:spacing w:val="0"/>
          <w:sz w:val="30"/>
          <w:szCs w:val="30"/>
          <w:highlight w:val="none"/>
          <w:shd w:val="clear" w:fill="FFFFFF"/>
          <w:lang w:val="en-US" w:eastAsia="zh-CN"/>
        </w:rPr>
      </w:pPr>
    </w:p>
    <w:p>
      <w:pPr>
        <w:keepNext/>
        <w:keepLines/>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Style w:val="8"/>
          <w:rFonts w:hint="eastAsia" w:ascii="黑体" w:hAnsi="黑体" w:eastAsia="黑体" w:cs="黑体"/>
          <w:b w:val="0"/>
          <w:bCs w:val="0"/>
          <w:i w:val="0"/>
          <w:caps w:val="0"/>
          <w:color w:val="auto"/>
          <w:spacing w:val="0"/>
          <w:sz w:val="30"/>
          <w:szCs w:val="30"/>
          <w:highlight w:val="none"/>
          <w:shd w:val="clear" w:fill="FFFFFF"/>
          <w:lang w:val="en-US" w:eastAsia="zh-CN"/>
        </w:rPr>
      </w:pPr>
      <w:r>
        <w:rPr>
          <w:rFonts w:hint="eastAsia" w:ascii="方正小标宋简体" w:hAnsi="方正小标宋简体" w:eastAsia="方正小标宋简体" w:cs="方正小标宋简体"/>
          <w:color w:val="auto"/>
          <w:kern w:val="2"/>
          <w:sz w:val="44"/>
          <w:szCs w:val="44"/>
          <w:lang w:val="en-US" w:eastAsia="zh-CN" w:bidi="ar"/>
        </w:rPr>
        <w:t>需提供相关材料的清单</w:t>
      </w:r>
    </w:p>
    <w:p>
      <w:pPr>
        <w:keepNext/>
        <w:keepLines/>
        <w:pageBreakBefore w:val="0"/>
        <w:widowControl/>
        <w:kinsoku/>
        <w:overflowPunct/>
        <w:topLinePunct w:val="0"/>
        <w:autoSpaceDE/>
        <w:autoSpaceDN/>
        <w:bidi w:val="0"/>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6" w:name="_Toc25675_WPSOffice_Level1"/>
    </w:p>
    <w:p>
      <w:pPr>
        <w:keepNext/>
        <w:keepLines/>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一、出资机构应提供的材料</w:t>
      </w:r>
      <w:bookmarkEnd w:id="6"/>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2.公司章程或合伙协议；</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3.实缴出资证明材料或净资产证明材料；</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4.最近三年不存在重大违纪违规行为；</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5.法定代表人或执行事务合伙人（或其委派代表）身份证明；</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.投资人员基金投资经验和资质证明；</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.申请机构或其主要股东、普通合伙人最近三个会计年度经审计的财务报告；</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val="en-US" w:eastAsia="zh-CN"/>
        </w:rPr>
        <w:t>需要提交的</w:t>
      </w:r>
      <w:r>
        <w:rPr>
          <w:rFonts w:hint="eastAsia" w:ascii="仿宋_GB2312" w:hAnsi="仿宋_GB2312" w:eastAsia="仿宋_GB2312" w:cs="仿宋_GB2312"/>
          <w:color w:val="auto"/>
          <w:sz w:val="32"/>
          <w:szCs w:val="32"/>
        </w:rPr>
        <w:t>资料。</w:t>
      </w:r>
    </w:p>
    <w:p>
      <w:pPr>
        <w:keepNext/>
        <w:keepLines/>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bookmarkStart w:id="7" w:name="_Toc9177_WPSOffice_Level1"/>
      <w:r>
        <w:rPr>
          <w:rFonts w:hint="eastAsia" w:ascii="黑体" w:hAnsi="黑体" w:eastAsia="黑体" w:cs="黑体"/>
          <w:color w:val="auto"/>
          <w:sz w:val="32"/>
          <w:szCs w:val="32"/>
          <w:lang w:val="en-US" w:eastAsia="zh-CN"/>
        </w:rPr>
        <w:t>二、管理机构应提交的材料</w:t>
      </w:r>
      <w:bookmarkEnd w:id="7"/>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2.合伙协议（或公司章程）；</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3.登记备案证明；</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4.实缴出资证明材料；</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5.管理机构或其主要股东、普通合伙人和在管基金最近三个会计年度</w:t>
      </w:r>
      <w:r>
        <w:rPr>
          <w:rFonts w:hint="eastAsia" w:ascii="仿宋_GB2312" w:hAnsi="仿宋_GB2312" w:eastAsia="仿宋_GB2312" w:cs="仿宋_GB2312"/>
          <w:color w:val="auto"/>
          <w:sz w:val="32"/>
          <w:szCs w:val="32"/>
          <w:lang w:val="en-US" w:eastAsia="zh-CN"/>
        </w:rPr>
        <w:t>及最近一期</w:t>
      </w:r>
      <w:r>
        <w:rPr>
          <w:rFonts w:hint="eastAsia" w:ascii="仿宋_GB2312" w:hAnsi="仿宋_GB2312" w:eastAsia="仿宋_GB2312" w:cs="仿宋_GB2312"/>
          <w:color w:val="auto"/>
          <w:sz w:val="32"/>
          <w:szCs w:val="32"/>
        </w:rPr>
        <w:t>经审计的财务报告或财务报表；</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管理机构需根据申报方案提供以下证明材料之一：</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管理机构或其主要股东、普通合伙人自有资金及管理的基金累计投资项目和成功投资的案例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10个含以上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的证明材料；</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管理机构或其主要股东、普通合伙人或3名以上管理团队主要成员以骨干身份共同累计管理基金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实缴规模不低于5亿元人民币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股权</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val="en-US" w:eastAsia="zh-CN"/>
        </w:rPr>
        <w:t>成功</w:t>
      </w:r>
      <w:r>
        <w:rPr>
          <w:rFonts w:hint="eastAsia" w:ascii="仿宋_GB2312" w:hAnsi="仿宋_GB2312" w:eastAsia="仿宋_GB2312" w:cs="仿宋_GB2312"/>
          <w:color w:val="auto"/>
          <w:sz w:val="32"/>
          <w:szCs w:val="32"/>
        </w:rPr>
        <w:t>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3个含以上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的证明材料</w:t>
      </w:r>
      <w:r>
        <w:rPr>
          <w:rFonts w:hint="eastAsia" w:ascii="仿宋_GB2312" w:hAnsi="仿宋_GB2312" w:eastAsia="仿宋_GB2312" w:cs="仿宋_GB2312"/>
          <w:color w:val="auto"/>
          <w:sz w:val="32"/>
          <w:szCs w:val="32"/>
          <w:lang w:eastAsia="zh-CN"/>
        </w:rPr>
        <w:t>。</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7.核心团队及高级管理人员</w:t>
      </w:r>
      <w:r>
        <w:rPr>
          <w:rFonts w:hint="eastAsia" w:ascii="仿宋_GB2312" w:hAnsi="仿宋_GB2312" w:eastAsia="仿宋_GB2312" w:cs="仿宋_GB2312"/>
          <w:color w:val="auto"/>
          <w:sz w:val="32"/>
          <w:szCs w:val="32"/>
          <w:lang w:val="en-US" w:eastAsia="zh-CN"/>
        </w:rPr>
        <w:t>个人征信报告</w:t>
      </w:r>
      <w:r>
        <w:rPr>
          <w:rFonts w:hint="eastAsia" w:ascii="仿宋_GB2312" w:hAnsi="仿宋_GB2312" w:eastAsia="仿宋_GB2312" w:cs="仿宋_GB2312"/>
          <w:color w:val="auto"/>
          <w:sz w:val="32"/>
          <w:szCs w:val="32"/>
        </w:rPr>
        <w:t>；</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8.内部治理架构：管理和投资运作规范，具有完整的投资决策程序、全面的风险控制机制和健全的财务管理制度；</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管理机构新设方案说明函（</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管理机构已设立情况除外）：说明函内容应包括但不限于</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基金</w:t>
      </w:r>
      <w:r>
        <w:rPr>
          <w:rFonts w:hint="eastAsia" w:ascii="仿宋_GB2312" w:hAnsi="仿宋_GB2312" w:eastAsia="仿宋_GB2312" w:cs="仿宋_GB2312"/>
          <w:color w:val="auto"/>
          <w:sz w:val="32"/>
          <w:szCs w:val="32"/>
        </w:rPr>
        <w:t>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办公或在</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缴纳社保情况、所获荣誉、代表案例等)等内容。</w:t>
      </w:r>
    </w:p>
    <w:p>
      <w:pPr>
        <w:keepNext/>
        <w:keepLines/>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bookmarkStart w:id="8" w:name="_Toc5806_WPSOffice_Level1"/>
      <w:r>
        <w:rPr>
          <w:rFonts w:hint="eastAsia" w:ascii="黑体" w:hAnsi="黑体" w:eastAsia="黑体" w:cs="黑体"/>
          <w:color w:val="auto"/>
          <w:sz w:val="32"/>
          <w:szCs w:val="32"/>
          <w:lang w:val="en-US" w:eastAsia="zh-CN"/>
        </w:rPr>
        <w:t>三、专项基金须在贵州省新型工业化发展基金（母基金）实际出资前补齐以下材料</w:t>
      </w:r>
      <w:bookmarkEnd w:id="8"/>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专项基金设立的</w:t>
      </w:r>
      <w:r>
        <w:rPr>
          <w:rFonts w:hint="eastAsia" w:ascii="仿宋_GB2312" w:hAnsi="仿宋_GB2312" w:eastAsia="仿宋_GB2312" w:cs="仿宋_GB2312"/>
          <w:color w:val="auto"/>
          <w:sz w:val="32"/>
          <w:szCs w:val="32"/>
        </w:rPr>
        <w:t>营业执照；</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公司章程/合伙协议；</w:t>
      </w:r>
    </w:p>
    <w:p>
      <w:pPr>
        <w:keepNext/>
        <w:keepLines/>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托管协议；</w:t>
      </w:r>
    </w:p>
    <w:p>
      <w:pPr>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专项基金</w:t>
      </w:r>
      <w:r>
        <w:rPr>
          <w:rFonts w:hint="eastAsia" w:ascii="仿宋_GB2312" w:hAnsi="仿宋_GB2312" w:eastAsia="仿宋_GB2312" w:cs="仿宋_GB2312"/>
          <w:color w:val="auto"/>
          <w:sz w:val="32"/>
          <w:szCs w:val="32"/>
        </w:rPr>
        <w:t>备案证明材料。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E316D"/>
    <w:rsid w:val="0A302E00"/>
    <w:rsid w:val="0F3E316D"/>
    <w:rsid w:val="117E09F7"/>
    <w:rsid w:val="1255034A"/>
    <w:rsid w:val="14526DE7"/>
    <w:rsid w:val="2081190C"/>
    <w:rsid w:val="25EB22BD"/>
    <w:rsid w:val="2D1C25B2"/>
    <w:rsid w:val="34A22BF3"/>
    <w:rsid w:val="35622588"/>
    <w:rsid w:val="3D027D13"/>
    <w:rsid w:val="3F0A7B33"/>
    <w:rsid w:val="4481662E"/>
    <w:rsid w:val="4514668E"/>
    <w:rsid w:val="49267A37"/>
    <w:rsid w:val="61EA2FD5"/>
    <w:rsid w:val="74AC206E"/>
    <w:rsid w:val="77FB2FB5"/>
    <w:rsid w:val="7CF0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eastAsia" w:ascii="仿宋_GB2312" w:hAnsi="宋体" w:eastAsia="仿宋_GB2312" w:cs="仿宋_GB2312"/>
      <w:b/>
      <w:kern w:val="44"/>
      <w:sz w:val="44"/>
      <w:szCs w:val="22"/>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lang w:val="en-US" w:eastAsia="zh-CN" w:bidi="ar-SA"/>
    </w:rPr>
  </w:style>
  <w:style w:type="character" w:styleId="8">
    <w:name w:val="Strong"/>
    <w:basedOn w:val="7"/>
    <w:qFormat/>
    <w:uiPriority w:val="0"/>
    <w:rPr>
      <w:b/>
    </w:rPr>
  </w:style>
  <w:style w:type="paragraph" w:customStyle="1" w:styleId="9">
    <w:name w:val="table of authorities1"/>
    <w:basedOn w:val="1"/>
    <w:next w:val="1"/>
    <w:qFormat/>
    <w:uiPriority w:val="0"/>
    <w:pPr>
      <w:keepNext w:val="0"/>
      <w:keepLines w:val="0"/>
      <w:widowControl w:val="0"/>
      <w:suppressLineNumbers w:val="0"/>
      <w:spacing w:before="0" w:beforeAutospacing="0" w:after="0" w:afterAutospacing="0"/>
      <w:ind w:left="200" w:leftChars="200" w:right="0"/>
      <w:jc w:val="both"/>
    </w:pPr>
    <w:rPr>
      <w:rFonts w:hint="eastAsia" w:ascii="仿宋_GB2312" w:hAnsi="Times New Roman" w:eastAsia="仿宋_GB2312" w:cs="Times New Roman"/>
      <w:kern w:val="2"/>
      <w:sz w:val="32"/>
      <w:szCs w:val="22"/>
      <w:lang w:val="en-US" w:eastAsia="zh-CN" w:bidi="ar"/>
    </w:r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仿宋_GB2312" w:hAnsi="Times New Roman" w:eastAsia="仿宋_GB2312" w:cs="Times New Roman"/>
      <w:kern w:val="2"/>
      <w:sz w:val="32"/>
      <w:szCs w:val="22"/>
      <w:lang w:val="en-US" w:eastAsia="zh-CN" w:bidi="ar"/>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4634</Words>
  <Characters>4692</Characters>
  <Lines>0</Lines>
  <Paragraphs>0</Paragraphs>
  <TotalTime>4</TotalTime>
  <ScaleCrop>false</ScaleCrop>
  <LinksUpToDate>false</LinksUpToDate>
  <CharactersWithSpaces>4970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2021-08-05T01:41:00Z</dcterms:created>
  <dc:creator>Aeocat Wu</dc:creator>
  <cp:lastModifiedBy>Aeocat Wu</cp:lastModifiedBy>
  <cp:lastPrinted>2021-08-09T03:42:00Z</cp:lastPrinted>
  <dcterms:modified xsi:type="dcterms:W3CDTF">2021-09-23T07:02:09Z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