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件</w:t>
      </w:r>
      <w:r>
        <w:rPr>
          <w:rFonts w:hint="eastAsia" w:ascii="仿宋" w:hAnsi="仿宋" w:eastAsia="仿宋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大赛评分标准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page" w:tblpX="1468" w:tblpY="339"/>
        <w:tblOverlap w:val="never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8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评分项目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评分</w:t>
            </w:r>
            <w:r>
              <w:rPr>
                <w:rFonts w:hint="eastAsia" w:ascii="仿宋" w:hAnsi="仿宋" w:eastAsia="仿宋" w:cs="仿宋"/>
                <w:bCs/>
                <w:szCs w:val="32"/>
                <w:lang w:val="en-US" w:eastAsia="zh-CN"/>
              </w:rPr>
              <w:t>内容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所占比重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产品(服务)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原创性，视角及主题的独特性，对商业价值、社会需求、技术含量及发展态势的预测情况。产品（服务）所针对的用户群是否合理；解决了用户的哪些问题；进入的时间点是否合适等。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团队情况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团队人员配备的完整性、互补性、资历背景及资源整合能力等。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商业模式</w:t>
            </w: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Cs w:val="32"/>
              </w:rPr>
              <w:t>运营状况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商业模式设计的创新性及可行性。项目的运营策略及目前运营状况，包括财务数据、用户数据、客户情况等。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市场及竞争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对市场前景预测的合理性；对市场现状、变化趋势及潜力的分析；对目标市场及客户定位等。市场容量、前瞻性、成长性、项目的竞争情况、市场策略（计划）的可执行性。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计划书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是否简明扼要、描述准确，能突出项目特点；是否材料详实，文字表达清楚；对选题与创意的解释是否清晰。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现场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答辩情况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1.对评委提出的问题认识准确，回答能紧紧围绕项目本身；2.表达清晰明确、合理、逻辑性强；3.对所遇到的问题分析有效，可信程度高；4.答辩时团队配合程度高；5.时间符合要求并有良好的答辩礼仪。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其他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社会效益，带动就业能力等。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总计</w:t>
            </w:r>
          </w:p>
        </w:tc>
        <w:tc>
          <w:tcPr>
            <w:tcW w:w="580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100%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0B7A"/>
    <w:rsid w:val="23140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2019-05-07T01:23:00Z</dcterms:created>
  <dc:creator>summer</dc:creator>
  <cp:lastModifiedBy>summer</cp:lastModifiedBy>
  <dcterms:modified xsi:type="dcterms:W3CDTF">2019-05-07T01:24:21Z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